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3A378021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242EF2">
        <w:rPr>
          <w:rFonts w:ascii="Century Gothic" w:hAnsi="Century Gothic"/>
          <w:b/>
          <w:bCs/>
        </w:rPr>
        <w:t>AMENAGEMENT</w:t>
      </w:r>
    </w:p>
    <w:p w14:paraId="6A267448" w14:textId="69DF6954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Mistral" w:hAnsi="Mistral"/>
          <w:b/>
          <w:bCs/>
          <w:noProof/>
          <w:color w:val="833C0B"/>
          <w:sz w:val="36"/>
          <w:szCs w:val="36"/>
        </w:rPr>
        <w:t>« Redéploiement équilibré des terroirs nourriciers</w:t>
      </w:r>
      <w:r w:rsidR="00242EF2">
        <w:rPr>
          <w:rFonts w:ascii="Mistral" w:hAnsi="Mistral"/>
          <w:b/>
          <w:bCs/>
          <w:noProof/>
          <w:color w:val="833C0B"/>
          <w:sz w:val="36"/>
          <w:szCs w:val="36"/>
        </w:rPr>
        <w:t> »</w:t>
      </w:r>
    </w:p>
    <w:p w14:paraId="6047ED62" w14:textId="75CF6F9D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Century Gothic" w:hAnsi="Century Gothic"/>
          <w:b/>
          <w:bCs/>
        </w:rPr>
        <w:t>"Penser autrement" la constructibilité</w:t>
      </w:r>
      <w:r w:rsidR="00242EF2">
        <w:rPr>
          <w:rFonts w:ascii="Century Gothic" w:hAnsi="Century Gothic"/>
          <w:b/>
          <w:bCs/>
        </w:rPr>
        <w:t xml:space="preserve"> </w:t>
      </w:r>
      <w:r w:rsidR="00242EF2" w:rsidRPr="00242EF2">
        <w:rPr>
          <w:rFonts w:ascii="Century Gothic" w:hAnsi="Century Gothic"/>
          <w:b/>
          <w:bCs/>
        </w:rPr>
        <w:t>en zone agricole</w:t>
      </w:r>
      <w:r w:rsidR="00C91CE0">
        <w:rPr>
          <w:rFonts w:ascii="Century Gothic" w:hAnsi="Century Gothic"/>
          <w:b/>
          <w:bCs/>
        </w:rPr>
        <w:t xml:space="preserve"> / </w:t>
      </w:r>
    </w:p>
    <w:p w14:paraId="15EE6FB6" w14:textId="08A17487" w:rsidR="006334CA" w:rsidRPr="00E81BB8" w:rsidRDefault="008E386C" w:rsidP="00F419DF">
      <w:pPr>
        <w:tabs>
          <w:tab w:val="left" w:leader="dot" w:pos="9072"/>
        </w:tabs>
        <w:ind w:right="-2"/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</w:pPr>
      <w:r w:rsidRPr="00CB02D9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CB02D9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D72AFD" w:rsidRPr="00CB02D9">
        <w:rPr>
          <w:rFonts w:ascii="Century Gothic" w:hAnsi="Century Gothic"/>
          <w:b/>
          <w:bCs/>
          <w:sz w:val="24"/>
          <w:szCs w:val="24"/>
        </w:rPr>
        <w:t xml:space="preserve">action </w:t>
      </w:r>
      <w:r w:rsidR="00D72AFD">
        <w:rPr>
          <w:rFonts w:ascii="Century Gothic" w:hAnsi="Century Gothic"/>
          <w:b/>
          <w:bCs/>
          <w:sz w:val="24"/>
          <w:szCs w:val="24"/>
        </w:rPr>
        <w:t>6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 :</w:t>
      </w:r>
      <w:r w:rsidR="00A759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B32C2" w:rsidRPr="00E81BB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m</w:t>
      </w:r>
      <w:r w:rsidR="00526D42" w:rsidRPr="00E81BB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aitriser les constructions et occupations du sol non agricoles</w:t>
      </w:r>
    </w:p>
    <w:p w14:paraId="04C0B0C4" w14:textId="102E731B" w:rsidR="00C541C0" w:rsidRPr="0097697E" w:rsidRDefault="00C541C0" w:rsidP="0097697E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4C94F90A" w14:textId="26A6F158" w:rsidR="0025344C" w:rsidRPr="00783287" w:rsidRDefault="007C346A" w:rsidP="005C38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7C346A">
              <w:rPr>
                <w:rFonts w:ascii="Century Gothic" w:hAnsi="Century Gothic"/>
                <w:sz w:val="18"/>
                <w:szCs w:val="18"/>
              </w:rPr>
              <w:t>e nombreuses constructions et occupations non agricoles en zones agricoles (A) génèr</w:t>
            </w:r>
            <w:r>
              <w:rPr>
                <w:rFonts w:ascii="Century Gothic" w:hAnsi="Century Gothic"/>
                <w:sz w:val="18"/>
                <w:szCs w:val="18"/>
              </w:rPr>
              <w:t>ent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spéculation et conflits d’usages.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Le marché foncier échappe à l'agriculture, seulement 15% du volume des mutations sur 9 ans (2014 à 2022).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Malgré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’interdiction de 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destination des constructions non agricoles sur les zones A, les biens continuent d’être vendus à des non-agriculteurs. Ceci présente une </w:t>
            </w:r>
            <w:r>
              <w:rPr>
                <w:rFonts w:ascii="Century Gothic" w:hAnsi="Century Gothic"/>
                <w:sz w:val="18"/>
                <w:szCs w:val="18"/>
              </w:rPr>
              <w:t>« </w:t>
            </w:r>
            <w:r w:rsidRPr="007C346A">
              <w:rPr>
                <w:rFonts w:ascii="Century Gothic" w:hAnsi="Century Gothic"/>
                <w:sz w:val="18"/>
                <w:szCs w:val="18"/>
              </w:rPr>
              <w:t>aubaine</w:t>
            </w:r>
            <w:r>
              <w:rPr>
                <w:rFonts w:ascii="Century Gothic" w:hAnsi="Century Gothic"/>
                <w:sz w:val="18"/>
                <w:szCs w:val="18"/>
              </w:rPr>
              <w:t> »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pour des acquéreurs non agricoles jouissant de villégiatures tant qu’ils ne recourent pas à une demande de permis de construire.</w:t>
            </w:r>
          </w:p>
        </w:tc>
      </w:tr>
      <w:tr w:rsidR="00A759C7" w:rsidRPr="00CB02D9" w14:paraId="0C9C36D4" w14:textId="77777777" w:rsidTr="0074166D">
        <w:trPr>
          <w:trHeight w:val="3364"/>
        </w:trPr>
        <w:tc>
          <w:tcPr>
            <w:tcW w:w="4978" w:type="dxa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1A63E008" w:rsidR="009D5A75" w:rsidRPr="009D5A75" w:rsidRDefault="009D5A75" w:rsidP="005C3836">
            <w:pPr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Zone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dans le PAEN et par extension toute</w:t>
            </w:r>
            <w:r w:rsidR="007C346A">
              <w:rPr>
                <w:rFonts w:ascii="Century Gothic" w:hAnsi="Century Gothic"/>
                <w:sz w:val="18"/>
                <w:szCs w:val="18"/>
              </w:rPr>
              <w:t>s les z</w:t>
            </w:r>
            <w:r>
              <w:rPr>
                <w:rFonts w:ascii="Century Gothic" w:hAnsi="Century Gothic"/>
                <w:sz w:val="18"/>
                <w:szCs w:val="18"/>
              </w:rPr>
              <w:t>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984FB8" w14:textId="741F270A" w:rsidR="009D5A75" w:rsidRDefault="00875FFD" w:rsidP="007C34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67FBFFF" wp14:editId="03E574E2">
                  <wp:extent cx="3072765" cy="1731645"/>
                  <wp:effectExtent l="0" t="0" r="0" b="1905"/>
                  <wp:docPr id="16765095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477E2C4B" w14:textId="77777777" w:rsidR="00783287" w:rsidRPr="00CB02D9" w:rsidRDefault="00783287" w:rsidP="00783287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6F49071C" w14:textId="77777777" w:rsidR="00A759C7" w:rsidRDefault="009D5A75" w:rsidP="00DD0335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Penser autrement, avancé en ateliers, jouerait le temps long pour résorber et empêcher les occupations non agricoles pour un retour agricole lors des ventes.</w:t>
            </w:r>
          </w:p>
          <w:p w14:paraId="3DF425EB" w14:textId="1BBD8CA9" w:rsidR="00B74B23" w:rsidRPr="00E81BB8" w:rsidRDefault="00B74B23" w:rsidP="00DD0335">
            <w:pPr>
              <w:spacing w:after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Protéger les sièges d’exploitation (éviter que ceux-ci deviennent des </w:t>
            </w:r>
            <w:proofErr w:type="spellStart"/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>Kaz</w:t>
            </w:r>
            <w:proofErr w:type="spellEnd"/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à terre) et autres bâtis à usage agricole + réorienter des bâtis non agricoles vers l’agriculture en fonction des besoins identifiés</w:t>
            </w:r>
          </w:p>
          <w:p w14:paraId="6A424D4B" w14:textId="05125540" w:rsidR="00C91CE0" w:rsidRPr="00CB02D9" w:rsidRDefault="00C91CE0" w:rsidP="00DD0335">
            <w:pPr>
              <w:spacing w:after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Surveiller le marché des vente</w:t>
            </w:r>
            <w:r w:rsidR="00F35726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de biens bâtis en zone agricole et intervenir en préemption lorsque ceux-ci peuvent constituer des sièges d’exploitation ou quand ceux-ci sont associer à du foncier en zone A suffisamment important pour faire l’objet d’une production agricole.</w:t>
            </w:r>
          </w:p>
        </w:tc>
      </w:tr>
    </w:tbl>
    <w:p w14:paraId="025DCA5E" w14:textId="77777777" w:rsidR="009470ED" w:rsidRDefault="009470ED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242EF2" w14:paraId="7F0587BC" w14:textId="77777777" w:rsidTr="007C346A">
        <w:tc>
          <w:tcPr>
            <w:tcW w:w="9303" w:type="dxa"/>
            <w:gridSpan w:val="4"/>
          </w:tcPr>
          <w:p w14:paraId="5FF00ACD" w14:textId="3C64CEC9" w:rsidR="00C541C0" w:rsidRPr="00242EF2" w:rsidRDefault="00783287" w:rsidP="00EC7E37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Actions opérationnelles envisagées</w:t>
            </w:r>
          </w:p>
          <w:p w14:paraId="6900445A" w14:textId="165FA111" w:rsidR="0025344C" w:rsidRPr="0025344C" w:rsidRDefault="00242EF2" w:rsidP="0025344C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42EF2">
              <w:rPr>
                <w:rFonts w:ascii="Century Gothic" w:hAnsi="Century Gothic"/>
                <w:sz w:val="18"/>
                <w:szCs w:val="18"/>
              </w:rPr>
              <w:t xml:space="preserve">Recenser le bâti </w:t>
            </w:r>
            <w:r w:rsidR="0025344C">
              <w:rPr>
                <w:rFonts w:ascii="Century Gothic" w:hAnsi="Century Gothic"/>
                <w:sz w:val="18"/>
                <w:szCs w:val="18"/>
              </w:rPr>
              <w:t xml:space="preserve">en zone </w:t>
            </w:r>
            <w:r w:rsidRPr="00242EF2">
              <w:rPr>
                <w:rFonts w:ascii="Century Gothic" w:hAnsi="Century Gothic"/>
                <w:sz w:val="18"/>
                <w:szCs w:val="18"/>
              </w:rPr>
              <w:t xml:space="preserve">agricole </w:t>
            </w:r>
            <w:r w:rsidR="0025344C">
              <w:rPr>
                <w:rFonts w:ascii="Century Gothic" w:hAnsi="Century Gothic"/>
                <w:sz w:val="18"/>
                <w:szCs w:val="18"/>
              </w:rPr>
              <w:t xml:space="preserve">et identifier s’il a un usage agricole ou non (siège d’exploitation compris) </w:t>
            </w:r>
          </w:p>
          <w:p w14:paraId="19ED2497" w14:textId="77777777" w:rsidR="006008F9" w:rsidRDefault="00242EF2" w:rsidP="009D5A7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42EF2">
              <w:rPr>
                <w:rFonts w:ascii="Century Gothic" w:hAnsi="Century Gothic"/>
                <w:sz w:val="18"/>
                <w:szCs w:val="18"/>
              </w:rPr>
              <w:t>Appliquer plus efficacement le droit de préemption</w:t>
            </w:r>
            <w:r w:rsidR="009D5A75">
              <w:rPr>
                <w:rFonts w:ascii="Century Gothic" w:hAnsi="Century Gothic"/>
                <w:sz w:val="18"/>
                <w:szCs w:val="18"/>
              </w:rPr>
              <w:t xml:space="preserve"> : </w:t>
            </w:r>
            <w:r w:rsidR="009D5A75" w:rsidRPr="009D5A75">
              <w:rPr>
                <w:rFonts w:ascii="Century Gothic" w:hAnsi="Century Gothic"/>
                <w:sz w:val="18"/>
                <w:szCs w:val="18"/>
              </w:rPr>
              <w:t>information et suivi systématique des déclarations d’intention d’aliéner ainsi qu’une anticipation financière pour l’acquisition afin d’empêcher toute nouvelle vente à destination non agricole.</w:t>
            </w:r>
          </w:p>
          <w:p w14:paraId="335C8275" w14:textId="47F35B39" w:rsidR="00000EA1" w:rsidRPr="00E81BB8" w:rsidRDefault="00000EA1" w:rsidP="009D5A7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>Identifier des financements possibles / identifier des partenaires financiers</w:t>
            </w:r>
          </w:p>
        </w:tc>
      </w:tr>
      <w:tr w:rsidR="00C541C0" w:rsidRPr="00CB02D9" w14:paraId="5E611D64" w14:textId="77777777" w:rsidTr="007C346A">
        <w:tc>
          <w:tcPr>
            <w:tcW w:w="9303" w:type="dxa"/>
            <w:gridSpan w:val="4"/>
          </w:tcPr>
          <w:p w14:paraId="12353135" w14:textId="70F03C75" w:rsidR="00C541C0" w:rsidRPr="00CB02D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Cadre réglementaire</w:t>
            </w:r>
          </w:p>
          <w:p w14:paraId="24FEC16E" w14:textId="7052072F" w:rsidR="006008F9" w:rsidRPr="00056FF0" w:rsidRDefault="005C3836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</w:t>
            </w:r>
          </w:p>
          <w:p w14:paraId="5C4F69F5" w14:textId="2186E415" w:rsidR="00C541C0" w:rsidRPr="00CB02D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 xml:space="preserve">Lien avec </w:t>
            </w:r>
            <w:r w:rsidR="00783287">
              <w:rPr>
                <w:rFonts w:ascii="Century Gothic" w:hAnsi="Century Gothic"/>
                <w:b/>
                <w:bCs/>
              </w:rPr>
              <w:t xml:space="preserve">les autres actions </w:t>
            </w:r>
            <w:r w:rsidR="00056FF0">
              <w:rPr>
                <w:rFonts w:ascii="Century Gothic" w:hAnsi="Century Gothic"/>
                <w:b/>
                <w:bCs/>
              </w:rPr>
              <w:t>du p</w:t>
            </w:r>
            <w:r w:rsidR="005E2D68">
              <w:rPr>
                <w:rFonts w:ascii="Century Gothic" w:hAnsi="Century Gothic"/>
                <w:b/>
                <w:bCs/>
              </w:rPr>
              <w:t>r</w:t>
            </w:r>
            <w:r w:rsidR="00056FF0">
              <w:rPr>
                <w:rFonts w:ascii="Century Gothic" w:hAnsi="Century Gothic"/>
                <w:b/>
                <w:bCs/>
              </w:rPr>
              <w:t xml:space="preserve">ogramme d’action </w:t>
            </w:r>
            <w:r w:rsidR="00783287">
              <w:rPr>
                <w:rFonts w:ascii="Century Gothic" w:hAnsi="Century Gothic"/>
                <w:b/>
                <w:bCs/>
              </w:rPr>
              <w:t xml:space="preserve">voire </w:t>
            </w:r>
            <w:r w:rsidR="005C3836" w:rsidRPr="00CB02D9">
              <w:rPr>
                <w:rFonts w:ascii="Century Gothic" w:hAnsi="Century Gothic"/>
                <w:b/>
                <w:bCs/>
              </w:rPr>
              <w:t>programmes</w:t>
            </w:r>
            <w:r w:rsidRPr="00CB02D9">
              <w:rPr>
                <w:rFonts w:ascii="Century Gothic" w:hAnsi="Century Gothic"/>
                <w:b/>
                <w:bCs/>
              </w:rPr>
              <w:t xml:space="preserve"> extérieurs</w:t>
            </w:r>
          </w:p>
          <w:p w14:paraId="6B34A9C0" w14:textId="6DB2B814" w:rsidR="006008F9" w:rsidRPr="00CB02D9" w:rsidRDefault="00730B0E" w:rsidP="00730B0E">
            <w:pPr>
              <w:spacing w:line="360" w:lineRule="auto"/>
              <w:rPr>
                <w:rFonts w:ascii="Century Gothic" w:hAnsi="Century Gothic"/>
              </w:rPr>
            </w:pPr>
            <w:r w:rsidRPr="00E81BB8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  <w:szCs w:val="18"/>
              </w:rPr>
              <w:t>Agir contre les occupations et constructions portant atteinte à l'environnement et illégales en zone naturelle</w:t>
            </w:r>
            <w:r w:rsidR="005051F4" w:rsidRPr="005051F4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1808DC" w:rsidRPr="00CB02D9" w14:paraId="7655D172" w14:textId="77777777" w:rsidTr="007C346A">
        <w:trPr>
          <w:trHeight w:val="60"/>
        </w:trPr>
        <w:tc>
          <w:tcPr>
            <w:tcW w:w="9303" w:type="dxa"/>
            <w:gridSpan w:val="4"/>
          </w:tcPr>
          <w:p w14:paraId="051E4BFD" w14:textId="1BAEEEEB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923E7F" w:rsidRPr="005051F4" w14:paraId="063E3CA7" w14:textId="77777777" w:rsidTr="0074166D">
        <w:trPr>
          <w:trHeight w:val="60"/>
        </w:trPr>
        <w:tc>
          <w:tcPr>
            <w:tcW w:w="2409" w:type="dxa"/>
          </w:tcPr>
          <w:p w14:paraId="5550E684" w14:textId="1D300E6B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Opérateur : </w:t>
            </w:r>
            <w:r w:rsidR="00000EA1">
              <w:rPr>
                <w:rFonts w:ascii="Century Gothic" w:hAnsi="Century Gothic"/>
                <w:sz w:val="18"/>
                <w:szCs w:val="18"/>
                <w:highlight w:val="yellow"/>
              </w:rPr>
              <w:t>Département</w:t>
            </w:r>
          </w:p>
        </w:tc>
        <w:tc>
          <w:tcPr>
            <w:tcW w:w="2569" w:type="dxa"/>
          </w:tcPr>
          <w:p w14:paraId="1BA84992" w14:textId="53CF5C71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Rapporteur :</w:t>
            </w:r>
          </w:p>
        </w:tc>
        <w:tc>
          <w:tcPr>
            <w:tcW w:w="4325" w:type="dxa"/>
            <w:gridSpan w:val="2"/>
          </w:tcPr>
          <w:p w14:paraId="221B23EF" w14:textId="473D6BE0" w:rsidR="00923E7F" w:rsidRPr="005051F4" w:rsidRDefault="00923E7F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Pilote de l’action :</w:t>
            </w:r>
          </w:p>
        </w:tc>
      </w:tr>
      <w:tr w:rsidR="0030327C" w:rsidRPr="00410A70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7C4CCC3A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Partenaires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5344C"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un partenaire financier qui puisse porter le foncier et le </w:t>
            </w:r>
            <w:r w:rsidR="005B08A4" w:rsidRPr="005B08A4">
              <w:rPr>
                <w:rFonts w:ascii="Century Gothic" w:hAnsi="Century Gothic"/>
                <w:b/>
                <w:bCs/>
                <w:sz w:val="18"/>
                <w:szCs w:val="18"/>
              </w:rPr>
              <w:t>bâti</w:t>
            </w:r>
            <w:r w:rsidR="0025344C"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serait le bienvenu / SAFER pour la partie veille, AGORAH sur le recensement des bâtis et de leurs usages</w:t>
            </w:r>
          </w:p>
        </w:tc>
      </w:tr>
      <w:tr w:rsidR="0030327C" w:rsidRPr="00410A70" w14:paraId="4B0C1B9B" w14:textId="77777777" w:rsidTr="007C346A">
        <w:trPr>
          <w:trHeight w:val="60"/>
        </w:trPr>
        <w:tc>
          <w:tcPr>
            <w:tcW w:w="9303" w:type="dxa"/>
            <w:gridSpan w:val="4"/>
          </w:tcPr>
          <w:p w14:paraId="026DD835" w14:textId="03516AB5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Outils réglementaires ou contractuels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00EA1">
              <w:rPr>
                <w:rFonts w:ascii="Century Gothic" w:hAnsi="Century Gothic"/>
                <w:sz w:val="18"/>
                <w:szCs w:val="18"/>
              </w:rPr>
              <w:t>veille foncière SAFER (convention) mise en pratique du droit de préemption du Département</w:t>
            </w:r>
          </w:p>
        </w:tc>
      </w:tr>
      <w:tr w:rsidR="00056FF0" w:rsidRPr="00CB02D9" w14:paraId="47923223" w14:textId="77777777" w:rsidTr="0074166D">
        <w:tc>
          <w:tcPr>
            <w:tcW w:w="2409" w:type="dxa"/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</w:tcPr>
          <w:p w14:paraId="754C24C7" w14:textId="4641ABC8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court</w:t>
            </w:r>
            <w:proofErr w:type="gramEnd"/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  <w:tc>
          <w:tcPr>
            <w:tcW w:w="2407" w:type="dxa"/>
          </w:tcPr>
          <w:p w14:paraId="052BCA7A" w14:textId="5D315C37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moyen</w:t>
            </w:r>
            <w:proofErr w:type="gramEnd"/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</w:tcPr>
          <w:p w14:paraId="275D765A" w14:textId="1F5B43C5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="00056FF0" w:rsidRPr="00CB02D9">
              <w:rPr>
                <w:rFonts w:ascii="Century Gothic" w:hAnsi="Century Gothic"/>
              </w:rPr>
              <w:t>long</w:t>
            </w:r>
            <w:proofErr w:type="gramEnd"/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</w:tr>
      <w:tr w:rsidR="00C541C0" w:rsidRPr="00CB02D9" w14:paraId="6FA0D6D4" w14:textId="77777777" w:rsidTr="0074166D">
        <w:trPr>
          <w:trHeight w:val="283"/>
        </w:trPr>
        <w:tc>
          <w:tcPr>
            <w:tcW w:w="4978" w:type="dxa"/>
            <w:gridSpan w:val="2"/>
          </w:tcPr>
          <w:p w14:paraId="0ED2B4F1" w14:textId="4E62AF9B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proofErr w:type="gramStart"/>
            <w:r w:rsidR="00717BF8" w:rsidRPr="00CB02D9">
              <w:rPr>
                <w:rFonts w:ascii="Century Gothic" w:hAnsi="Century Gothic"/>
              </w:rPr>
              <w:t>( en</w:t>
            </w:r>
            <w:proofErr w:type="gramEnd"/>
            <w:r w:rsidR="00717BF8" w:rsidRPr="00CB02D9">
              <w:rPr>
                <w:rFonts w:ascii="Century Gothic" w:hAnsi="Century Gothic"/>
              </w:rPr>
              <w:t xml:space="preserve"> € H.T.)</w:t>
            </w:r>
          </w:p>
        </w:tc>
        <w:tc>
          <w:tcPr>
            <w:tcW w:w="4325" w:type="dxa"/>
            <w:gridSpan w:val="2"/>
          </w:tcPr>
          <w:p w14:paraId="3B5965BD" w14:textId="1DF7135F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7C346A">
        <w:tc>
          <w:tcPr>
            <w:tcW w:w="9303" w:type="dxa"/>
            <w:gridSpan w:val="4"/>
          </w:tcPr>
          <w:p w14:paraId="0C232E40" w14:textId="253C1290" w:rsidR="003B786E" w:rsidRPr="00CB02D9" w:rsidRDefault="00C541C0" w:rsidP="009914A2">
            <w:pPr>
              <w:spacing w:line="360" w:lineRule="auto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Financement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</w:p>
        </w:tc>
      </w:tr>
    </w:tbl>
    <w:p w14:paraId="166AB35F" w14:textId="7FB62FE9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default" r:id="rId8"/>
      <w:footerReference w:type="default" r:id="rId9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CF4E" w14:textId="77777777" w:rsidR="0035201C" w:rsidRDefault="0035201C">
      <w:r>
        <w:separator/>
      </w:r>
    </w:p>
  </w:endnote>
  <w:endnote w:type="continuationSeparator" w:id="0">
    <w:p w14:paraId="3A8B35F9" w14:textId="77777777" w:rsidR="0035201C" w:rsidRDefault="003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51E0DD02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CF1B19">
      <w:rPr>
        <w:rFonts w:ascii="Century Gothic" w:hAnsi="Century Gothic"/>
        <w:i/>
        <w:iCs/>
        <w:noProof/>
      </w:rPr>
      <w:t>Fiche action 6 - Construction non agricole.docx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9CFB" w14:textId="77777777" w:rsidR="0035201C" w:rsidRDefault="0035201C">
      <w:r>
        <w:separator/>
      </w:r>
    </w:p>
  </w:footnote>
  <w:footnote w:type="continuationSeparator" w:id="0">
    <w:p w14:paraId="14BF34BF" w14:textId="77777777" w:rsidR="0035201C" w:rsidRDefault="003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44540235">
    <w:abstractNumId w:val="2"/>
  </w:num>
  <w:num w:numId="2" w16cid:durableId="406613912">
    <w:abstractNumId w:val="2"/>
  </w:num>
  <w:num w:numId="3" w16cid:durableId="1429422864">
    <w:abstractNumId w:val="0"/>
  </w:num>
  <w:num w:numId="4" w16cid:durableId="176949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CA"/>
    <w:rsid w:val="00000EA1"/>
    <w:rsid w:val="00024505"/>
    <w:rsid w:val="00056FF0"/>
    <w:rsid w:val="00061CA6"/>
    <w:rsid w:val="00070BA4"/>
    <w:rsid w:val="00072606"/>
    <w:rsid w:val="00073C87"/>
    <w:rsid w:val="000852E0"/>
    <w:rsid w:val="00085C2C"/>
    <w:rsid w:val="00097BD4"/>
    <w:rsid w:val="000A5C26"/>
    <w:rsid w:val="000B32C2"/>
    <w:rsid w:val="000E370C"/>
    <w:rsid w:val="00110A91"/>
    <w:rsid w:val="00141B93"/>
    <w:rsid w:val="00173737"/>
    <w:rsid w:val="001808DC"/>
    <w:rsid w:val="001874A0"/>
    <w:rsid w:val="001B62F1"/>
    <w:rsid w:val="002121E8"/>
    <w:rsid w:val="002316F3"/>
    <w:rsid w:val="00235BB3"/>
    <w:rsid w:val="00242EF2"/>
    <w:rsid w:val="0025344C"/>
    <w:rsid w:val="00265C7E"/>
    <w:rsid w:val="0027171B"/>
    <w:rsid w:val="00281A1D"/>
    <w:rsid w:val="00287DA5"/>
    <w:rsid w:val="002A7B5C"/>
    <w:rsid w:val="002B1CE6"/>
    <w:rsid w:val="002F0779"/>
    <w:rsid w:val="0030327C"/>
    <w:rsid w:val="00312AF6"/>
    <w:rsid w:val="0035201C"/>
    <w:rsid w:val="003B786E"/>
    <w:rsid w:val="003E26FA"/>
    <w:rsid w:val="00410A70"/>
    <w:rsid w:val="00421C67"/>
    <w:rsid w:val="00431F94"/>
    <w:rsid w:val="00433B86"/>
    <w:rsid w:val="00452DF8"/>
    <w:rsid w:val="00486807"/>
    <w:rsid w:val="004B328F"/>
    <w:rsid w:val="004B43E6"/>
    <w:rsid w:val="004C71B6"/>
    <w:rsid w:val="005051F4"/>
    <w:rsid w:val="00526D42"/>
    <w:rsid w:val="00543CAF"/>
    <w:rsid w:val="00562A61"/>
    <w:rsid w:val="005B08A4"/>
    <w:rsid w:val="005C3836"/>
    <w:rsid w:val="005E2D68"/>
    <w:rsid w:val="005F1D0C"/>
    <w:rsid w:val="005F2979"/>
    <w:rsid w:val="006008F9"/>
    <w:rsid w:val="00621553"/>
    <w:rsid w:val="006334CA"/>
    <w:rsid w:val="00684B1D"/>
    <w:rsid w:val="006A25C3"/>
    <w:rsid w:val="006C10E3"/>
    <w:rsid w:val="006C2EA1"/>
    <w:rsid w:val="006E4740"/>
    <w:rsid w:val="0070617D"/>
    <w:rsid w:val="00717BF8"/>
    <w:rsid w:val="00727DEE"/>
    <w:rsid w:val="00730B0E"/>
    <w:rsid w:val="0074166D"/>
    <w:rsid w:val="00783287"/>
    <w:rsid w:val="007A2CBF"/>
    <w:rsid w:val="007B3D05"/>
    <w:rsid w:val="007C346A"/>
    <w:rsid w:val="007C5195"/>
    <w:rsid w:val="007D5438"/>
    <w:rsid w:val="007E268C"/>
    <w:rsid w:val="00805A4D"/>
    <w:rsid w:val="00812FF4"/>
    <w:rsid w:val="008178E0"/>
    <w:rsid w:val="008362C3"/>
    <w:rsid w:val="008427ED"/>
    <w:rsid w:val="00853632"/>
    <w:rsid w:val="00875FFD"/>
    <w:rsid w:val="00883B6A"/>
    <w:rsid w:val="008E386C"/>
    <w:rsid w:val="0090081E"/>
    <w:rsid w:val="00904E9E"/>
    <w:rsid w:val="009122C6"/>
    <w:rsid w:val="009217A4"/>
    <w:rsid w:val="00923E7F"/>
    <w:rsid w:val="00934026"/>
    <w:rsid w:val="009448C7"/>
    <w:rsid w:val="009470ED"/>
    <w:rsid w:val="00953D24"/>
    <w:rsid w:val="0097697E"/>
    <w:rsid w:val="009914A2"/>
    <w:rsid w:val="009A7657"/>
    <w:rsid w:val="009B361B"/>
    <w:rsid w:val="009C670F"/>
    <w:rsid w:val="009D5A75"/>
    <w:rsid w:val="009D74A6"/>
    <w:rsid w:val="00A0346E"/>
    <w:rsid w:val="00A058BB"/>
    <w:rsid w:val="00A1327B"/>
    <w:rsid w:val="00A20C64"/>
    <w:rsid w:val="00A759C7"/>
    <w:rsid w:val="00AB1138"/>
    <w:rsid w:val="00AC6FDE"/>
    <w:rsid w:val="00AE0361"/>
    <w:rsid w:val="00AE422A"/>
    <w:rsid w:val="00AE64A4"/>
    <w:rsid w:val="00B102F8"/>
    <w:rsid w:val="00B27E88"/>
    <w:rsid w:val="00B54AAC"/>
    <w:rsid w:val="00B70D58"/>
    <w:rsid w:val="00B74B23"/>
    <w:rsid w:val="00B7592A"/>
    <w:rsid w:val="00B76BEB"/>
    <w:rsid w:val="00C34F14"/>
    <w:rsid w:val="00C47975"/>
    <w:rsid w:val="00C541C0"/>
    <w:rsid w:val="00C60AB2"/>
    <w:rsid w:val="00C91CE0"/>
    <w:rsid w:val="00CA0F9B"/>
    <w:rsid w:val="00CA6894"/>
    <w:rsid w:val="00CB02D9"/>
    <w:rsid w:val="00CE59CA"/>
    <w:rsid w:val="00CF1B19"/>
    <w:rsid w:val="00CF1BC0"/>
    <w:rsid w:val="00CF50B8"/>
    <w:rsid w:val="00CF5BEC"/>
    <w:rsid w:val="00D171B8"/>
    <w:rsid w:val="00D47CA2"/>
    <w:rsid w:val="00D646E3"/>
    <w:rsid w:val="00D64C16"/>
    <w:rsid w:val="00D655E3"/>
    <w:rsid w:val="00D72AFD"/>
    <w:rsid w:val="00D918C2"/>
    <w:rsid w:val="00D93C43"/>
    <w:rsid w:val="00DB4394"/>
    <w:rsid w:val="00DC143C"/>
    <w:rsid w:val="00DD0335"/>
    <w:rsid w:val="00E214CA"/>
    <w:rsid w:val="00E33051"/>
    <w:rsid w:val="00E4217F"/>
    <w:rsid w:val="00E51E8A"/>
    <w:rsid w:val="00E64A6C"/>
    <w:rsid w:val="00E771C7"/>
    <w:rsid w:val="00E81BB8"/>
    <w:rsid w:val="00E95A04"/>
    <w:rsid w:val="00EB38F4"/>
    <w:rsid w:val="00EB747D"/>
    <w:rsid w:val="00EC7E37"/>
    <w:rsid w:val="00F006E6"/>
    <w:rsid w:val="00F35726"/>
    <w:rsid w:val="00F419DF"/>
    <w:rsid w:val="00FB4045"/>
    <w:rsid w:val="00FC663A"/>
    <w:rsid w:val="00FD1E6B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00EA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23</cp:revision>
  <cp:lastPrinted>2025-11-01T15:38:00Z</cp:lastPrinted>
  <dcterms:created xsi:type="dcterms:W3CDTF">2025-12-16T11:17:00Z</dcterms:created>
  <dcterms:modified xsi:type="dcterms:W3CDTF">2025-12-17T20:54:00Z</dcterms:modified>
</cp:coreProperties>
</file>