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192B8" w14:textId="3A378021" w:rsidR="00C541C0" w:rsidRPr="00783287" w:rsidRDefault="00CB02D9" w:rsidP="00CB02D9">
      <w:pPr>
        <w:tabs>
          <w:tab w:val="left" w:leader="dot" w:pos="9072"/>
        </w:tabs>
        <w:spacing w:line="360" w:lineRule="auto"/>
        <w:rPr>
          <w:rFonts w:ascii="Century Gothic" w:hAnsi="Century Gothic"/>
        </w:rPr>
      </w:pPr>
      <w:r w:rsidRPr="00783287">
        <w:rPr>
          <w:rFonts w:ascii="Century Gothic" w:hAnsi="Century Gothic"/>
          <w:b/>
          <w:bCs/>
        </w:rPr>
        <w:t>Type d’action</w:t>
      </w:r>
      <w:r w:rsidR="001B62F1" w:rsidRPr="00783287">
        <w:rPr>
          <w:rFonts w:ascii="Century Gothic" w:hAnsi="Century Gothic"/>
          <w:b/>
          <w:bCs/>
        </w:rPr>
        <w:t xml:space="preserve"> : </w:t>
      </w:r>
      <w:r w:rsidR="00242EF2">
        <w:rPr>
          <w:rFonts w:ascii="Century Gothic" w:hAnsi="Century Gothic"/>
          <w:b/>
          <w:bCs/>
        </w:rPr>
        <w:t>AMENAGEMENT</w:t>
      </w:r>
    </w:p>
    <w:p w14:paraId="6A267448" w14:textId="0BA20791" w:rsidR="00C541C0" w:rsidRPr="00783287" w:rsidRDefault="00CB02D9" w:rsidP="00242EF2">
      <w:pPr>
        <w:tabs>
          <w:tab w:val="left" w:leader="dot" w:pos="9072"/>
        </w:tabs>
        <w:spacing w:line="360" w:lineRule="auto"/>
        <w:ind w:right="72"/>
        <w:rPr>
          <w:rFonts w:ascii="Century Gothic" w:hAnsi="Century Gothic"/>
        </w:rPr>
      </w:pPr>
      <w:r w:rsidRPr="00783287">
        <w:rPr>
          <w:rFonts w:ascii="Century Gothic" w:hAnsi="Century Gothic"/>
          <w:b/>
          <w:bCs/>
        </w:rPr>
        <w:t>Axe</w:t>
      </w:r>
      <w:r w:rsidR="00C541C0" w:rsidRPr="00783287">
        <w:rPr>
          <w:rFonts w:ascii="Century Gothic" w:hAnsi="Century Gothic"/>
          <w:b/>
          <w:bCs/>
        </w:rPr>
        <w:t xml:space="preserve"> : </w:t>
      </w:r>
      <w:r w:rsidR="00242EF2" w:rsidRPr="00D67D14">
        <w:rPr>
          <w:rFonts w:ascii="Mistral" w:hAnsi="Mistral"/>
          <w:b/>
          <w:bCs/>
          <w:noProof/>
          <w:color w:val="538135" w:themeColor="accent6" w:themeShade="BF"/>
          <w:sz w:val="36"/>
          <w:szCs w:val="36"/>
        </w:rPr>
        <w:t>« </w:t>
      </w:r>
      <w:r w:rsidR="00D67D14" w:rsidRPr="00D67D14">
        <w:rPr>
          <w:rFonts w:ascii="Mistral" w:hAnsi="Mistral"/>
          <w:b/>
          <w:bCs/>
          <w:noProof/>
          <w:color w:val="538135" w:themeColor="accent6" w:themeShade="BF"/>
          <w:sz w:val="36"/>
          <w:szCs w:val="36"/>
        </w:rPr>
        <w:t>Nature et paysage en Cœur et Porte de Ville</w:t>
      </w:r>
      <w:r w:rsidR="00242EF2" w:rsidRPr="00D67D14">
        <w:rPr>
          <w:rFonts w:ascii="Mistral" w:hAnsi="Mistral"/>
          <w:b/>
          <w:bCs/>
          <w:noProof/>
          <w:color w:val="538135" w:themeColor="accent6" w:themeShade="BF"/>
          <w:sz w:val="36"/>
          <w:szCs w:val="36"/>
        </w:rPr>
        <w:t> »</w:t>
      </w:r>
    </w:p>
    <w:p w14:paraId="6047ED62" w14:textId="7C9654FB" w:rsidR="000852E0" w:rsidRPr="00783287" w:rsidRDefault="000852E0" w:rsidP="00242EF2">
      <w:pPr>
        <w:tabs>
          <w:tab w:val="left" w:leader="dot" w:pos="9072"/>
        </w:tabs>
        <w:spacing w:line="360" w:lineRule="auto"/>
        <w:ind w:right="72"/>
        <w:rPr>
          <w:rFonts w:ascii="Century Gothic" w:hAnsi="Century Gothic"/>
          <w:b/>
          <w:bCs/>
        </w:rPr>
      </w:pPr>
      <w:r w:rsidRPr="00783287">
        <w:rPr>
          <w:rFonts w:ascii="Century Gothic" w:hAnsi="Century Gothic"/>
          <w:b/>
          <w:bCs/>
        </w:rPr>
        <w:t xml:space="preserve">Orientation </w:t>
      </w:r>
      <w:r w:rsidR="00CB02D9" w:rsidRPr="00783287">
        <w:rPr>
          <w:rFonts w:ascii="Century Gothic" w:hAnsi="Century Gothic"/>
          <w:b/>
          <w:bCs/>
        </w:rPr>
        <w:t>stratégique</w:t>
      </w:r>
      <w:r w:rsidRPr="00783287">
        <w:rPr>
          <w:rFonts w:ascii="Century Gothic" w:hAnsi="Century Gothic"/>
          <w:b/>
          <w:bCs/>
        </w:rPr>
        <w:t xml:space="preserve"> : </w:t>
      </w:r>
      <w:r w:rsidR="00D67D14">
        <w:rPr>
          <w:rFonts w:ascii="Century Gothic" w:hAnsi="Century Gothic"/>
          <w:b/>
          <w:bCs/>
        </w:rPr>
        <w:t>Maintien et requalification écologique et paysagère</w:t>
      </w:r>
    </w:p>
    <w:p w14:paraId="12593E88" w14:textId="26C67ABA" w:rsidR="008427ED" w:rsidRPr="002469CF" w:rsidRDefault="008E386C" w:rsidP="00564C12">
      <w:pPr>
        <w:tabs>
          <w:tab w:val="left" w:leader="dot" w:pos="9072"/>
        </w:tabs>
        <w:ind w:right="-2"/>
        <w:rPr>
          <w:rFonts w:ascii="Century Gothic" w:hAnsi="Century Gothic"/>
          <w:b/>
          <w:bCs/>
          <w:i/>
          <w:iCs/>
          <w:noProof/>
          <w:color w:val="E9571C"/>
          <w:sz w:val="24"/>
          <w:szCs w:val="24"/>
        </w:rPr>
      </w:pPr>
      <w:r w:rsidRPr="00623481">
        <w:rPr>
          <w:rFonts w:ascii="Century Gothic" w:hAnsi="Century Gothic"/>
          <w:b/>
          <w:bCs/>
          <w:sz w:val="24"/>
          <w:szCs w:val="24"/>
        </w:rPr>
        <w:t>F</w:t>
      </w:r>
      <w:r w:rsidR="000852E0" w:rsidRPr="00623481">
        <w:rPr>
          <w:rFonts w:ascii="Century Gothic" w:hAnsi="Century Gothic"/>
          <w:b/>
          <w:bCs/>
          <w:sz w:val="24"/>
          <w:szCs w:val="24"/>
        </w:rPr>
        <w:t xml:space="preserve">iche </w:t>
      </w:r>
      <w:r w:rsidR="00D72AFD" w:rsidRPr="00623481">
        <w:rPr>
          <w:rFonts w:ascii="Century Gothic" w:hAnsi="Century Gothic"/>
          <w:b/>
          <w:bCs/>
          <w:sz w:val="24"/>
          <w:szCs w:val="24"/>
        </w:rPr>
        <w:t xml:space="preserve">action </w:t>
      </w:r>
      <w:r w:rsidR="00C4053A" w:rsidRPr="00623481">
        <w:rPr>
          <w:rFonts w:ascii="Century Gothic" w:hAnsi="Century Gothic"/>
          <w:b/>
          <w:bCs/>
          <w:sz w:val="24"/>
          <w:szCs w:val="24"/>
        </w:rPr>
        <w:t>10</w:t>
      </w:r>
      <w:r w:rsidR="00E036FF">
        <w:rPr>
          <w:rFonts w:ascii="Century Gothic" w:hAnsi="Century Gothic"/>
          <w:b/>
          <w:bCs/>
          <w:sz w:val="24"/>
          <w:szCs w:val="24"/>
        </w:rPr>
        <w:t>c</w:t>
      </w:r>
      <w:r w:rsidR="008427ED" w:rsidRPr="00623481">
        <w:rPr>
          <w:rFonts w:ascii="Century Gothic" w:hAnsi="Century Gothic"/>
          <w:b/>
          <w:bCs/>
          <w:sz w:val="24"/>
          <w:szCs w:val="24"/>
        </w:rPr>
        <w:t> :</w:t>
      </w:r>
      <w:r w:rsidR="00A759C7">
        <w:rPr>
          <w:rFonts w:ascii="Century Gothic" w:hAnsi="Century Gothic"/>
          <w:b/>
          <w:bCs/>
          <w:sz w:val="24"/>
          <w:szCs w:val="24"/>
        </w:rPr>
        <w:t xml:space="preserve"> </w:t>
      </w:r>
      <w:r w:rsidR="00A60815" w:rsidRPr="00A60815">
        <w:rPr>
          <w:rFonts w:ascii="Century Gothic" w:hAnsi="Century Gothic"/>
          <w:b/>
          <w:bCs/>
          <w:i/>
          <w:iCs/>
          <w:noProof/>
          <w:color w:val="E9571C"/>
          <w:sz w:val="24"/>
          <w:szCs w:val="24"/>
        </w:rPr>
        <w:t>a</w:t>
      </w:r>
      <w:r w:rsidR="00564C12" w:rsidRPr="00FA6F88">
        <w:rPr>
          <w:rFonts w:ascii="Century Gothic" w:hAnsi="Century Gothic"/>
          <w:b/>
          <w:bCs/>
          <w:i/>
          <w:iCs/>
          <w:noProof/>
          <w:color w:val="E9571C"/>
          <w:sz w:val="24"/>
          <w:szCs w:val="24"/>
        </w:rPr>
        <w:t>gir contre les occupations et constructions portant atteinte à l'environnement et illégales</w:t>
      </w:r>
    </w:p>
    <w:p w14:paraId="04C0B0C4" w14:textId="4AEA2F09" w:rsidR="00C541C0" w:rsidRDefault="00C541C0">
      <w:pPr>
        <w:rPr>
          <w:rFonts w:ascii="Century Gothic" w:hAnsi="Century Gothic"/>
        </w:rPr>
      </w:pPr>
    </w:p>
    <w:tbl>
      <w:tblPr>
        <w:tblW w:w="930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78"/>
        <w:gridCol w:w="4325"/>
      </w:tblGrid>
      <w:tr w:rsidR="00A759C7" w:rsidRPr="00CB02D9" w14:paraId="0A22D6DE" w14:textId="77777777" w:rsidTr="007C346A">
        <w:trPr>
          <w:trHeight w:val="884"/>
        </w:trPr>
        <w:tc>
          <w:tcPr>
            <w:tcW w:w="9303" w:type="dxa"/>
            <w:gridSpan w:val="2"/>
          </w:tcPr>
          <w:p w14:paraId="70AD6CB5" w14:textId="77777777" w:rsidR="00A759C7" w:rsidRDefault="00783287" w:rsidP="009217A4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Motif de l’action</w:t>
            </w:r>
          </w:p>
          <w:p w14:paraId="624E3950" w14:textId="77777777" w:rsidR="00614152" w:rsidRPr="00614152" w:rsidRDefault="00614152" w:rsidP="00614152">
            <w:pPr>
              <w:rPr>
                <w:rFonts w:ascii="Century Gothic" w:hAnsi="Century Gothic"/>
                <w:sz w:val="18"/>
                <w:szCs w:val="18"/>
              </w:rPr>
            </w:pPr>
            <w:r w:rsidRPr="00614152">
              <w:rPr>
                <w:rFonts w:ascii="Century Gothic" w:hAnsi="Century Gothic"/>
                <w:sz w:val="18"/>
                <w:szCs w:val="18"/>
              </w:rPr>
              <w:t>La « diagonale de nature », qui part de La Possession pour traverser l’Ile, confère à La Réunion sa reconnaissance au patrimoine mondial de l’UNESCO lui consacrant sa place quasi unique au Monde pour la richesse de sa biodiversité et ses paysages.</w:t>
            </w:r>
          </w:p>
          <w:p w14:paraId="4D214C28" w14:textId="19286389" w:rsidR="00614152" w:rsidRDefault="00614152" w:rsidP="00D13483">
            <w:pPr>
              <w:spacing w:after="120"/>
              <w:rPr>
                <w:rFonts w:ascii="Century Gothic" w:hAnsi="Century Gothic"/>
                <w:sz w:val="18"/>
                <w:szCs w:val="18"/>
              </w:rPr>
            </w:pPr>
            <w:r w:rsidRPr="00614152">
              <w:rPr>
                <w:rFonts w:ascii="Century Gothic" w:hAnsi="Century Gothic"/>
                <w:sz w:val="18"/>
                <w:szCs w:val="18"/>
              </w:rPr>
              <w:t xml:space="preserve">Des actions en périurbain pour le maintien </w:t>
            </w:r>
            <w:r w:rsidR="0058237B">
              <w:rPr>
                <w:rFonts w:ascii="Century Gothic" w:hAnsi="Century Gothic"/>
                <w:sz w:val="18"/>
                <w:szCs w:val="18"/>
              </w:rPr>
              <w:t xml:space="preserve">de la qualité </w:t>
            </w:r>
            <w:r w:rsidRPr="00614152">
              <w:rPr>
                <w:rFonts w:ascii="Century Gothic" w:hAnsi="Century Gothic"/>
                <w:sz w:val="18"/>
                <w:szCs w:val="18"/>
              </w:rPr>
              <w:t xml:space="preserve">écologique et paysagère </w:t>
            </w:r>
            <w:r w:rsidR="00954CA1">
              <w:rPr>
                <w:rFonts w:ascii="Century Gothic" w:hAnsi="Century Gothic"/>
                <w:sz w:val="18"/>
                <w:szCs w:val="18"/>
              </w:rPr>
              <w:t>des espaces naturels</w:t>
            </w:r>
            <w:r w:rsidR="0035577D">
              <w:rPr>
                <w:rFonts w:ascii="Century Gothic" w:hAnsi="Century Gothic"/>
                <w:sz w:val="18"/>
                <w:szCs w:val="18"/>
              </w:rPr>
              <w:t xml:space="preserve">, voire leur restauration, </w:t>
            </w:r>
            <w:r w:rsidRPr="00614152">
              <w:rPr>
                <w:rFonts w:ascii="Century Gothic" w:hAnsi="Century Gothic"/>
                <w:sz w:val="18"/>
                <w:szCs w:val="18"/>
              </w:rPr>
              <w:t>s’imposent donc dans le programme d’action</w:t>
            </w:r>
            <w:r w:rsidR="001E3A9A">
              <w:rPr>
                <w:rFonts w:ascii="Century Gothic" w:hAnsi="Century Gothic"/>
                <w:sz w:val="18"/>
                <w:szCs w:val="18"/>
              </w:rPr>
              <w:t>, décliné</w:t>
            </w:r>
            <w:r w:rsidR="0034268B">
              <w:rPr>
                <w:rFonts w:ascii="Century Gothic" w:hAnsi="Century Gothic"/>
                <w:sz w:val="18"/>
                <w:szCs w:val="18"/>
              </w:rPr>
              <w:t>es</w:t>
            </w:r>
            <w:r w:rsidR="001E3A9A">
              <w:rPr>
                <w:rFonts w:ascii="Century Gothic" w:hAnsi="Century Gothic"/>
                <w:sz w:val="18"/>
                <w:szCs w:val="18"/>
              </w:rPr>
              <w:t xml:space="preserve"> ensuite dans le plan d’actions</w:t>
            </w:r>
            <w:r w:rsidRPr="00614152">
              <w:rPr>
                <w:rFonts w:ascii="Century Gothic" w:hAnsi="Century Gothic"/>
                <w:sz w:val="18"/>
                <w:szCs w:val="18"/>
              </w:rPr>
              <w:t>.</w:t>
            </w:r>
          </w:p>
          <w:p w14:paraId="1DD97682" w14:textId="4A85E99E" w:rsidR="00AB3399" w:rsidRPr="00EA1B9E" w:rsidRDefault="00CD2BAF" w:rsidP="00EA1B9E">
            <w:pPr>
              <w:spacing w:after="120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EA1B9E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La présente action </w:t>
            </w:r>
            <w:r w:rsidR="00236867" w:rsidRPr="00EA1B9E">
              <w:rPr>
                <w:rFonts w:ascii="Century Gothic" w:hAnsi="Century Gothic"/>
                <w:b/>
                <w:bCs/>
                <w:sz w:val="18"/>
                <w:szCs w:val="18"/>
              </w:rPr>
              <w:t>vis</w:t>
            </w:r>
            <w:r w:rsidR="001E39B1" w:rsidRPr="00EA1B9E">
              <w:rPr>
                <w:rFonts w:ascii="Century Gothic" w:hAnsi="Century Gothic"/>
                <w:b/>
                <w:bCs/>
                <w:sz w:val="18"/>
                <w:szCs w:val="18"/>
              </w:rPr>
              <w:t>e</w:t>
            </w:r>
            <w:r w:rsidR="00236867" w:rsidRPr="00EA1B9E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à </w:t>
            </w:r>
            <w:r w:rsidR="00B323A1" w:rsidRPr="00EA1B9E">
              <w:rPr>
                <w:rFonts w:ascii="Century Gothic" w:hAnsi="Century Gothic"/>
                <w:b/>
                <w:bCs/>
                <w:sz w:val="18"/>
                <w:szCs w:val="18"/>
              </w:rPr>
              <w:t>améliorer</w:t>
            </w:r>
            <w:r w:rsidR="004B7EE7" w:rsidRPr="00EA1B9E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</w:t>
            </w:r>
            <w:r w:rsidR="007F4168" w:rsidRPr="00EA1B9E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l’efficacité de </w:t>
            </w:r>
            <w:r w:rsidR="00B323A1" w:rsidRPr="00EA1B9E">
              <w:rPr>
                <w:rFonts w:ascii="Century Gothic" w:hAnsi="Century Gothic"/>
                <w:b/>
                <w:bCs/>
                <w:sz w:val="18"/>
                <w:szCs w:val="18"/>
              </w:rPr>
              <w:t>l’</w:t>
            </w:r>
            <w:r w:rsidR="00AD2619" w:rsidRPr="00EA1B9E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intervention </w:t>
            </w:r>
            <w:r w:rsidR="00236867" w:rsidRPr="00EA1B9E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foncière </w:t>
            </w:r>
            <w:r w:rsidR="00E9239B" w:rsidRPr="00EA1B9E">
              <w:rPr>
                <w:rFonts w:ascii="Century Gothic" w:hAnsi="Century Gothic"/>
                <w:b/>
                <w:bCs/>
                <w:sz w:val="18"/>
                <w:szCs w:val="18"/>
              </w:rPr>
              <w:t>du Con</w:t>
            </w:r>
            <w:r w:rsidR="00E9334F" w:rsidRPr="00EA1B9E">
              <w:rPr>
                <w:rFonts w:ascii="Century Gothic" w:hAnsi="Century Gothic"/>
                <w:b/>
                <w:bCs/>
                <w:sz w:val="18"/>
                <w:szCs w:val="18"/>
              </w:rPr>
              <w:t>servatoire du Littoral</w:t>
            </w:r>
            <w:r w:rsidR="001E39B1" w:rsidRPr="00EA1B9E">
              <w:rPr>
                <w:rFonts w:ascii="Century Gothic" w:hAnsi="Century Gothic"/>
                <w:b/>
                <w:bCs/>
                <w:sz w:val="18"/>
                <w:szCs w:val="18"/>
              </w:rPr>
              <w:t>.</w:t>
            </w:r>
          </w:p>
          <w:p w14:paraId="3CEFF8C9" w14:textId="3FF49C62" w:rsidR="00133C28" w:rsidRDefault="00276700" w:rsidP="0069786D">
            <w:pPr>
              <w:spacing w:after="12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Le </w:t>
            </w:r>
            <w:r w:rsidR="00841AC3">
              <w:rPr>
                <w:rFonts w:ascii="Century Gothic" w:hAnsi="Century Gothic"/>
                <w:sz w:val="18"/>
                <w:szCs w:val="18"/>
              </w:rPr>
              <w:t>Conservatoire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133C28">
              <w:rPr>
                <w:rFonts w:ascii="Century Gothic" w:hAnsi="Century Gothic"/>
                <w:sz w:val="18"/>
                <w:szCs w:val="18"/>
              </w:rPr>
              <w:t>du littoral est un opérateur foncier dont la mission principale est d’acquérir des espaces naturels, afin d’en garantir leur protection et de les soustraire à l’urbanisation.</w:t>
            </w:r>
          </w:p>
          <w:p w14:paraId="54B571B1" w14:textId="77777777" w:rsidR="002D0704" w:rsidRDefault="00133C28" w:rsidP="0069786D">
            <w:pPr>
              <w:spacing w:after="12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Pour ce faire, sur la commune de La Possession, deux périmètres d’intervention foncière ont été instaurés sur le massif de la Grande Chaloupe – Ravine à Malheur (1996) et sur la Ravine des Lataniers (2018).</w:t>
            </w:r>
          </w:p>
          <w:p w14:paraId="52D64ACA" w14:textId="77777777" w:rsidR="002D0704" w:rsidRDefault="00133C28" w:rsidP="0069786D">
            <w:pPr>
              <w:spacing w:after="12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L’action d</w:t>
            </w:r>
            <w:r w:rsidR="00E4032D">
              <w:rPr>
                <w:rFonts w:ascii="Century Gothic" w:hAnsi="Century Gothic"/>
                <w:sz w:val="18"/>
                <w:szCs w:val="18"/>
              </w:rPr>
              <w:t xml:space="preserve">u </w:t>
            </w:r>
            <w:r>
              <w:rPr>
                <w:rFonts w:ascii="Century Gothic" w:hAnsi="Century Gothic"/>
                <w:sz w:val="18"/>
                <w:szCs w:val="18"/>
              </w:rPr>
              <w:t xml:space="preserve">Conservatoire vise à </w:t>
            </w:r>
            <w:r w:rsidRPr="00133C28">
              <w:rPr>
                <w:rFonts w:ascii="Century Gothic" w:hAnsi="Century Gothic"/>
                <w:sz w:val="18"/>
                <w:szCs w:val="18"/>
              </w:rPr>
              <w:t>maintenir le caractère fortement patrimonial de ce</w:t>
            </w:r>
            <w:r>
              <w:rPr>
                <w:rFonts w:ascii="Century Gothic" w:hAnsi="Century Gothic"/>
                <w:sz w:val="18"/>
                <w:szCs w:val="18"/>
              </w:rPr>
              <w:t>s</w:t>
            </w:r>
            <w:r w:rsidRPr="00133C28">
              <w:rPr>
                <w:rFonts w:ascii="Century Gothic" w:hAnsi="Century Gothic"/>
                <w:sz w:val="18"/>
                <w:szCs w:val="18"/>
              </w:rPr>
              <w:t xml:space="preserve"> ensemble</w:t>
            </w:r>
            <w:r>
              <w:rPr>
                <w:rFonts w:ascii="Century Gothic" w:hAnsi="Century Gothic"/>
                <w:sz w:val="18"/>
                <w:szCs w:val="18"/>
              </w:rPr>
              <w:t>s</w:t>
            </w:r>
            <w:r w:rsidRPr="00133C28">
              <w:rPr>
                <w:rFonts w:ascii="Century Gothic" w:hAnsi="Century Gothic"/>
                <w:sz w:val="18"/>
                <w:szCs w:val="18"/>
              </w:rPr>
              <w:t xml:space="preserve"> naturel</w:t>
            </w:r>
            <w:r>
              <w:rPr>
                <w:rFonts w:ascii="Century Gothic" w:hAnsi="Century Gothic"/>
                <w:sz w:val="18"/>
                <w:szCs w:val="18"/>
              </w:rPr>
              <w:t>s</w:t>
            </w:r>
            <w:r w:rsidRPr="00133C28">
              <w:rPr>
                <w:rFonts w:ascii="Century Gothic" w:hAnsi="Century Gothic"/>
                <w:sz w:val="18"/>
                <w:szCs w:val="18"/>
              </w:rPr>
              <w:t xml:space="preserve"> : habitats rares et menacés de forêts </w:t>
            </w:r>
            <w:r w:rsidR="002D0704" w:rsidRPr="00133C28">
              <w:rPr>
                <w:rFonts w:ascii="Century Gothic" w:hAnsi="Century Gothic"/>
                <w:sz w:val="18"/>
                <w:szCs w:val="18"/>
              </w:rPr>
              <w:t>semi-sèche</w:t>
            </w:r>
            <w:r w:rsidRPr="00133C28">
              <w:rPr>
                <w:rFonts w:ascii="Century Gothic" w:hAnsi="Century Gothic"/>
                <w:sz w:val="18"/>
                <w:szCs w:val="18"/>
              </w:rPr>
              <w:t>, paysages de remparts spectaculaires</w:t>
            </w:r>
            <w:r>
              <w:rPr>
                <w:rFonts w:ascii="Century Gothic" w:hAnsi="Century Gothic"/>
                <w:sz w:val="18"/>
                <w:szCs w:val="18"/>
              </w:rPr>
              <w:t>.</w:t>
            </w:r>
          </w:p>
          <w:p w14:paraId="4C94F90A" w14:textId="704573E8" w:rsidR="00841AC3" w:rsidRPr="00E4032D" w:rsidRDefault="00E4032D" w:rsidP="0069786D">
            <w:pPr>
              <w:spacing w:after="12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En complément de la politique ENS du Département engagée dans les années 2000, le Conservatoire protège à ce jour </w:t>
            </w:r>
            <w:r w:rsidR="00133C28">
              <w:rPr>
                <w:rFonts w:ascii="Century Gothic" w:hAnsi="Century Gothic"/>
                <w:sz w:val="18"/>
                <w:szCs w:val="18"/>
              </w:rPr>
              <w:t>1100 ha sur le secteur de la Grande Chaloupe</w:t>
            </w:r>
            <w:r>
              <w:rPr>
                <w:rFonts w:ascii="Century Gothic" w:hAnsi="Century Gothic"/>
                <w:sz w:val="18"/>
                <w:szCs w:val="18"/>
              </w:rPr>
              <w:t>. Il</w:t>
            </w:r>
            <w:r w:rsidR="00133C28">
              <w:rPr>
                <w:rFonts w:ascii="Century Gothic" w:hAnsi="Century Gothic"/>
                <w:sz w:val="18"/>
                <w:szCs w:val="18"/>
              </w:rPr>
              <w:t xml:space="preserve"> souhaite poursuivre des acquisitions </w:t>
            </w:r>
            <w:r>
              <w:rPr>
                <w:rFonts w:ascii="Century Gothic" w:hAnsi="Century Gothic"/>
                <w:sz w:val="18"/>
                <w:szCs w:val="18"/>
              </w:rPr>
              <w:t xml:space="preserve">sur la Ravine à Malheur et la Ravine des Lataniers </w:t>
            </w:r>
            <w:r w:rsidR="00527120">
              <w:rPr>
                <w:rFonts w:ascii="Century Gothic" w:hAnsi="Century Gothic"/>
                <w:sz w:val="18"/>
                <w:szCs w:val="18"/>
              </w:rPr>
              <w:t xml:space="preserve">également, </w:t>
            </w:r>
            <w:r>
              <w:rPr>
                <w:rFonts w:ascii="Century Gothic" w:hAnsi="Century Gothic"/>
                <w:sz w:val="18"/>
                <w:szCs w:val="18"/>
              </w:rPr>
              <w:t>pour</w:t>
            </w:r>
            <w:r w:rsidRPr="00663F3E">
              <w:rPr>
                <w:rFonts w:ascii="Marianne" w:hAnsi="Marianne"/>
              </w:rPr>
              <w:t xml:space="preserve"> </w:t>
            </w:r>
            <w:r w:rsidRPr="00E4032D">
              <w:rPr>
                <w:rFonts w:ascii="Century Gothic" w:hAnsi="Century Gothic"/>
                <w:sz w:val="18"/>
                <w:szCs w:val="18"/>
              </w:rPr>
              <w:t>confirmer les coupures d’urbanisation des Hauts de La Possession soumises à une pression urbaine constante.</w:t>
            </w:r>
            <w:r w:rsidR="00527120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993C03" w:rsidRPr="00EA1B9E">
              <w:rPr>
                <w:rFonts w:ascii="Century Gothic" w:hAnsi="Century Gothic"/>
                <w:sz w:val="18"/>
                <w:szCs w:val="18"/>
              </w:rPr>
              <w:t xml:space="preserve">La </w:t>
            </w:r>
            <w:r w:rsidR="005A3F5E" w:rsidRPr="00EA1B9E">
              <w:rPr>
                <w:rFonts w:ascii="Century Gothic" w:hAnsi="Century Gothic"/>
                <w:sz w:val="18"/>
                <w:szCs w:val="18"/>
              </w:rPr>
              <w:t xml:space="preserve">poursuite de la </w:t>
            </w:r>
            <w:r w:rsidR="00C878E5" w:rsidRPr="00EA1B9E">
              <w:rPr>
                <w:rFonts w:ascii="Century Gothic" w:hAnsi="Century Gothic"/>
                <w:sz w:val="18"/>
                <w:szCs w:val="18"/>
              </w:rPr>
              <w:t xml:space="preserve">prospection </w:t>
            </w:r>
            <w:r w:rsidR="005A3F5E" w:rsidRPr="00EA1B9E">
              <w:rPr>
                <w:rFonts w:ascii="Century Gothic" w:hAnsi="Century Gothic"/>
                <w:sz w:val="18"/>
                <w:szCs w:val="18"/>
              </w:rPr>
              <w:t xml:space="preserve">foncière </w:t>
            </w:r>
            <w:r w:rsidR="00C878E5" w:rsidRPr="00EA1B9E">
              <w:rPr>
                <w:rFonts w:ascii="Century Gothic" w:hAnsi="Century Gothic"/>
                <w:sz w:val="18"/>
                <w:szCs w:val="18"/>
              </w:rPr>
              <w:t xml:space="preserve">et la </w:t>
            </w:r>
            <w:r w:rsidR="00993C03" w:rsidRPr="00EA1B9E">
              <w:rPr>
                <w:rFonts w:ascii="Century Gothic" w:hAnsi="Century Gothic"/>
                <w:sz w:val="18"/>
                <w:szCs w:val="18"/>
              </w:rPr>
              <w:t>mise en place</w:t>
            </w:r>
            <w:r w:rsidR="00885800" w:rsidRPr="00EA1B9E">
              <w:rPr>
                <w:rFonts w:ascii="Century Gothic" w:hAnsi="Century Gothic"/>
                <w:sz w:val="18"/>
                <w:szCs w:val="18"/>
              </w:rPr>
              <w:t xml:space="preserve"> de modalités d’intervention </w:t>
            </w:r>
            <w:r w:rsidR="00B81367" w:rsidRPr="00EA1B9E">
              <w:rPr>
                <w:rFonts w:ascii="Century Gothic" w:hAnsi="Century Gothic"/>
                <w:sz w:val="18"/>
                <w:szCs w:val="18"/>
              </w:rPr>
              <w:t xml:space="preserve">plus </w:t>
            </w:r>
            <w:r w:rsidR="009B4397" w:rsidRPr="00EA1B9E">
              <w:rPr>
                <w:rFonts w:ascii="Century Gothic" w:hAnsi="Century Gothic"/>
                <w:sz w:val="18"/>
                <w:szCs w:val="18"/>
              </w:rPr>
              <w:t>ciblées</w:t>
            </w:r>
            <w:r w:rsidR="00B81367" w:rsidRPr="00EA1B9E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FC04B4" w:rsidRPr="00EA1B9E">
              <w:rPr>
                <w:rFonts w:ascii="Century Gothic" w:hAnsi="Century Gothic"/>
                <w:sz w:val="18"/>
                <w:szCs w:val="18"/>
              </w:rPr>
              <w:t xml:space="preserve">sur </w:t>
            </w:r>
            <w:r w:rsidR="00B81367" w:rsidRPr="00EA1B9E">
              <w:rPr>
                <w:rFonts w:ascii="Century Gothic" w:hAnsi="Century Gothic"/>
                <w:sz w:val="18"/>
                <w:szCs w:val="18"/>
              </w:rPr>
              <w:t>s</w:t>
            </w:r>
            <w:r w:rsidR="00FC04B4" w:rsidRPr="00EA1B9E">
              <w:rPr>
                <w:rFonts w:ascii="Century Gothic" w:hAnsi="Century Gothic"/>
                <w:sz w:val="18"/>
                <w:szCs w:val="18"/>
              </w:rPr>
              <w:t xml:space="preserve">a </w:t>
            </w:r>
            <w:r w:rsidR="00993C03" w:rsidRPr="00EA1B9E">
              <w:rPr>
                <w:rFonts w:ascii="Century Gothic" w:hAnsi="Century Gothic"/>
                <w:sz w:val="18"/>
                <w:szCs w:val="18"/>
              </w:rPr>
              <w:t xml:space="preserve">zone de préemption </w:t>
            </w:r>
            <w:r w:rsidR="006A3785" w:rsidRPr="00EA1B9E">
              <w:rPr>
                <w:rFonts w:ascii="Century Gothic" w:hAnsi="Century Gothic"/>
                <w:sz w:val="18"/>
                <w:szCs w:val="18"/>
              </w:rPr>
              <w:t>lui</w:t>
            </w:r>
            <w:r w:rsidR="0033736E" w:rsidRPr="00EA1B9E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993C03" w:rsidRPr="00EA1B9E">
              <w:rPr>
                <w:rFonts w:ascii="Century Gothic" w:hAnsi="Century Gothic"/>
                <w:sz w:val="18"/>
                <w:szCs w:val="18"/>
              </w:rPr>
              <w:t xml:space="preserve">permettrait d’être </w:t>
            </w:r>
            <w:r w:rsidR="009B4397" w:rsidRPr="00EA1B9E">
              <w:rPr>
                <w:rFonts w:ascii="Century Gothic" w:hAnsi="Century Gothic"/>
                <w:sz w:val="18"/>
                <w:szCs w:val="18"/>
              </w:rPr>
              <w:t xml:space="preserve">plus </w:t>
            </w:r>
            <w:r w:rsidR="00993C03" w:rsidRPr="00EA1B9E">
              <w:rPr>
                <w:rFonts w:ascii="Century Gothic" w:hAnsi="Century Gothic"/>
                <w:sz w:val="18"/>
                <w:szCs w:val="18"/>
              </w:rPr>
              <w:t xml:space="preserve">réactif </w:t>
            </w:r>
            <w:r w:rsidR="00550297" w:rsidRPr="00EA1B9E">
              <w:rPr>
                <w:rFonts w:ascii="Century Gothic" w:hAnsi="Century Gothic"/>
                <w:sz w:val="18"/>
                <w:szCs w:val="18"/>
              </w:rPr>
              <w:t xml:space="preserve">notamment </w:t>
            </w:r>
            <w:r w:rsidR="00993C03" w:rsidRPr="00EA1B9E">
              <w:rPr>
                <w:rFonts w:ascii="Century Gothic" w:hAnsi="Century Gothic"/>
                <w:sz w:val="18"/>
                <w:szCs w:val="18"/>
              </w:rPr>
              <w:t xml:space="preserve">dans </w:t>
            </w:r>
            <w:r w:rsidR="002E273F" w:rsidRPr="00EA1B9E">
              <w:rPr>
                <w:rFonts w:ascii="Century Gothic" w:hAnsi="Century Gothic"/>
                <w:sz w:val="18"/>
                <w:szCs w:val="18"/>
              </w:rPr>
              <w:t>l</w:t>
            </w:r>
            <w:r w:rsidR="00993C03" w:rsidRPr="00EA1B9E">
              <w:rPr>
                <w:rFonts w:ascii="Century Gothic" w:hAnsi="Century Gothic"/>
                <w:sz w:val="18"/>
                <w:szCs w:val="18"/>
              </w:rPr>
              <w:t>es cas de spéculation foncière</w:t>
            </w:r>
            <w:r w:rsidR="00136391" w:rsidRPr="00EA1B9E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993C03" w:rsidRPr="00EA1B9E">
              <w:rPr>
                <w:rFonts w:ascii="Century Gothic" w:hAnsi="Century Gothic"/>
                <w:sz w:val="18"/>
                <w:szCs w:val="18"/>
              </w:rPr>
              <w:t>en lisière d</w:t>
            </w:r>
            <w:r w:rsidR="00550297" w:rsidRPr="00EA1B9E">
              <w:rPr>
                <w:rFonts w:ascii="Century Gothic" w:hAnsi="Century Gothic"/>
                <w:sz w:val="18"/>
                <w:szCs w:val="18"/>
              </w:rPr>
              <w:t>’u</w:t>
            </w:r>
            <w:r w:rsidR="00993C03" w:rsidRPr="00EA1B9E">
              <w:rPr>
                <w:rFonts w:ascii="Century Gothic" w:hAnsi="Century Gothic"/>
                <w:sz w:val="18"/>
                <w:szCs w:val="18"/>
              </w:rPr>
              <w:t>rbanisation.</w:t>
            </w:r>
          </w:p>
        </w:tc>
      </w:tr>
      <w:tr w:rsidR="00A759C7" w:rsidRPr="00CB02D9" w14:paraId="0C9C36D4" w14:textId="77777777" w:rsidTr="0074166D">
        <w:trPr>
          <w:trHeight w:val="3364"/>
        </w:trPr>
        <w:tc>
          <w:tcPr>
            <w:tcW w:w="4978" w:type="dxa"/>
          </w:tcPr>
          <w:p w14:paraId="6F49FC02" w14:textId="1383C922" w:rsidR="00A759C7" w:rsidRDefault="00A759C7" w:rsidP="009217A4">
            <w:pPr>
              <w:rPr>
                <w:rFonts w:ascii="Century Gothic" w:hAnsi="Century Gothic"/>
                <w:b/>
                <w:bCs/>
              </w:rPr>
            </w:pPr>
            <w:r w:rsidRPr="00CB02D9">
              <w:rPr>
                <w:rFonts w:ascii="Century Gothic" w:hAnsi="Century Gothic"/>
                <w:b/>
                <w:bCs/>
              </w:rPr>
              <w:t>Localisation</w:t>
            </w:r>
          </w:p>
          <w:p w14:paraId="0456E592" w14:textId="2210DF0A" w:rsidR="009D5A75" w:rsidRPr="009D5A75" w:rsidRDefault="009D5A75" w:rsidP="005C3836">
            <w:pPr>
              <w:rPr>
                <w:rFonts w:ascii="Century Gothic" w:hAnsi="Century Gothic"/>
                <w:sz w:val="18"/>
                <w:szCs w:val="18"/>
              </w:rPr>
            </w:pPr>
            <w:r w:rsidRPr="009D5A75">
              <w:rPr>
                <w:rFonts w:ascii="Century Gothic" w:hAnsi="Century Gothic"/>
                <w:sz w:val="18"/>
                <w:szCs w:val="18"/>
              </w:rPr>
              <w:t>Zone</w:t>
            </w:r>
            <w:r w:rsidR="007C346A">
              <w:rPr>
                <w:rFonts w:ascii="Century Gothic" w:hAnsi="Century Gothic"/>
                <w:sz w:val="18"/>
                <w:szCs w:val="18"/>
              </w:rPr>
              <w:t>s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DC1CF6">
              <w:rPr>
                <w:rFonts w:ascii="Century Gothic" w:hAnsi="Century Gothic"/>
                <w:sz w:val="18"/>
                <w:szCs w:val="18"/>
              </w:rPr>
              <w:t>naturelles situées dans le</w:t>
            </w:r>
            <w:r w:rsidR="00E4032D">
              <w:rPr>
                <w:rFonts w:ascii="Century Gothic" w:hAnsi="Century Gothic"/>
                <w:sz w:val="18"/>
                <w:szCs w:val="18"/>
              </w:rPr>
              <w:t>s</w:t>
            </w:r>
            <w:r w:rsidR="00DC1CF6">
              <w:rPr>
                <w:rFonts w:ascii="Century Gothic" w:hAnsi="Century Gothic"/>
                <w:sz w:val="18"/>
                <w:szCs w:val="18"/>
              </w:rPr>
              <w:t xml:space="preserve"> périmètre</w:t>
            </w:r>
            <w:r w:rsidR="00E4032D">
              <w:rPr>
                <w:rFonts w:ascii="Century Gothic" w:hAnsi="Century Gothic"/>
                <w:sz w:val="18"/>
                <w:szCs w:val="18"/>
              </w:rPr>
              <w:t>s</w:t>
            </w:r>
            <w:r w:rsidR="00DC1CF6">
              <w:rPr>
                <w:rFonts w:ascii="Century Gothic" w:hAnsi="Century Gothic"/>
                <w:sz w:val="18"/>
                <w:szCs w:val="18"/>
              </w:rPr>
              <w:t xml:space="preserve"> d’intervention foncière du CDL et en complément du DP</w:t>
            </w:r>
            <w:r w:rsidR="00E4032D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DC1CF6">
              <w:rPr>
                <w:rFonts w:ascii="Century Gothic" w:hAnsi="Century Gothic"/>
                <w:sz w:val="18"/>
                <w:szCs w:val="18"/>
              </w:rPr>
              <w:t>ENS</w:t>
            </w:r>
            <w:r w:rsidR="00E4032D">
              <w:rPr>
                <w:rFonts w:ascii="Century Gothic" w:hAnsi="Century Gothic"/>
                <w:sz w:val="18"/>
                <w:szCs w:val="18"/>
              </w:rPr>
              <w:t xml:space="preserve"> et du DP PAEN.</w:t>
            </w:r>
          </w:p>
          <w:p w14:paraId="61984FB8" w14:textId="30F3909F" w:rsidR="009D5A75" w:rsidRDefault="006627E3" w:rsidP="007C346A">
            <w:pPr>
              <w:jc w:val="center"/>
              <w:rPr>
                <w:rFonts w:ascii="Century Gothic" w:hAnsi="Century Gothic"/>
              </w:rPr>
            </w:pPr>
            <w:r w:rsidRPr="006627E3">
              <w:rPr>
                <w:rFonts w:ascii="Century Gothic" w:hAnsi="Century Gothic"/>
                <w:noProof/>
              </w:rPr>
              <w:drawing>
                <wp:inline distT="0" distB="0" distL="0" distR="0" wp14:anchorId="0AFFFFED" wp14:editId="0652F775">
                  <wp:extent cx="2953385" cy="2551705"/>
                  <wp:effectExtent l="0" t="0" r="0" b="1270"/>
                  <wp:docPr id="897483563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7483563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4422" cy="25698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5" w:type="dxa"/>
          </w:tcPr>
          <w:p w14:paraId="477E2C4B" w14:textId="77777777" w:rsidR="00783287" w:rsidRPr="00CB02D9" w:rsidRDefault="00783287" w:rsidP="00783287">
            <w:pPr>
              <w:rPr>
                <w:rFonts w:ascii="Century Gothic" w:hAnsi="Century Gothic"/>
                <w:b/>
                <w:bCs/>
              </w:rPr>
            </w:pPr>
            <w:r w:rsidRPr="00CB02D9">
              <w:rPr>
                <w:rFonts w:ascii="Century Gothic" w:hAnsi="Century Gothic"/>
                <w:b/>
                <w:bCs/>
              </w:rPr>
              <w:t>Description</w:t>
            </w:r>
            <w:r>
              <w:rPr>
                <w:rFonts w:ascii="Century Gothic" w:hAnsi="Century Gothic"/>
                <w:b/>
                <w:bCs/>
              </w:rPr>
              <w:t xml:space="preserve"> de l’action</w:t>
            </w:r>
          </w:p>
          <w:p w14:paraId="00D6DBF3" w14:textId="77777777" w:rsidR="00D400BE" w:rsidRPr="00D400BE" w:rsidRDefault="00D400BE" w:rsidP="00D400BE">
            <w:pPr>
              <w:spacing w:after="120" w:line="360" w:lineRule="auto"/>
              <w:rPr>
                <w:rFonts w:ascii="Century Gothic" w:hAnsi="Century Gothic"/>
                <w:sz w:val="18"/>
                <w:szCs w:val="18"/>
              </w:rPr>
            </w:pPr>
            <w:r w:rsidRPr="00D400BE">
              <w:rPr>
                <w:rFonts w:ascii="Century Gothic" w:hAnsi="Century Gothic"/>
                <w:sz w:val="18"/>
                <w:szCs w:val="18"/>
              </w:rPr>
              <w:t>Souvent cachés et discrètes, des occupations voire des constructions en pleine nature existent en toute illégalité.</w:t>
            </w:r>
          </w:p>
          <w:p w14:paraId="7215857D" w14:textId="77777777" w:rsidR="007F533A" w:rsidRPr="00EA1B9E" w:rsidRDefault="00FB7EDE" w:rsidP="00D400BE">
            <w:pPr>
              <w:spacing w:after="120" w:line="360" w:lineRule="auto"/>
              <w:rPr>
                <w:rFonts w:ascii="Century Gothic" w:hAnsi="Century Gothic"/>
                <w:sz w:val="18"/>
                <w:szCs w:val="18"/>
              </w:rPr>
            </w:pPr>
            <w:r w:rsidRPr="00EA1B9E">
              <w:rPr>
                <w:rFonts w:ascii="Century Gothic" w:hAnsi="Century Gothic"/>
                <w:sz w:val="18"/>
                <w:szCs w:val="18"/>
              </w:rPr>
              <w:t xml:space="preserve">L’acquisition foncière </w:t>
            </w:r>
            <w:r w:rsidR="00215496" w:rsidRPr="00EA1B9E">
              <w:rPr>
                <w:rFonts w:ascii="Century Gothic" w:hAnsi="Century Gothic"/>
                <w:sz w:val="18"/>
                <w:szCs w:val="18"/>
              </w:rPr>
              <w:t xml:space="preserve">permet en amont </w:t>
            </w:r>
            <w:r w:rsidR="007F533A" w:rsidRPr="00EA1B9E">
              <w:rPr>
                <w:rFonts w:ascii="Century Gothic" w:hAnsi="Century Gothic"/>
                <w:sz w:val="18"/>
                <w:szCs w:val="18"/>
              </w:rPr>
              <w:t>de lutter contre ces atteintes à l’environnement.</w:t>
            </w:r>
          </w:p>
          <w:p w14:paraId="7BC789C8" w14:textId="77777777" w:rsidR="00C878E5" w:rsidRPr="00EA1B9E" w:rsidRDefault="00650777" w:rsidP="00D400BE">
            <w:pPr>
              <w:spacing w:after="120" w:line="360" w:lineRule="auto"/>
              <w:rPr>
                <w:rFonts w:ascii="Century Gothic" w:hAnsi="Century Gothic"/>
                <w:sz w:val="18"/>
                <w:szCs w:val="18"/>
              </w:rPr>
            </w:pPr>
            <w:r w:rsidRPr="00EA1B9E">
              <w:rPr>
                <w:rFonts w:ascii="Century Gothic" w:hAnsi="Century Gothic"/>
                <w:sz w:val="18"/>
                <w:szCs w:val="18"/>
              </w:rPr>
              <w:t xml:space="preserve">A cet effet sur </w:t>
            </w:r>
            <w:r w:rsidR="00BA1CD7" w:rsidRPr="00EA1B9E">
              <w:rPr>
                <w:rFonts w:ascii="Century Gothic" w:hAnsi="Century Gothic"/>
                <w:sz w:val="18"/>
                <w:szCs w:val="18"/>
              </w:rPr>
              <w:t xml:space="preserve">la zone d’intervention du Conservatoire, </w:t>
            </w:r>
            <w:r w:rsidR="00125114" w:rsidRPr="00EA1B9E">
              <w:rPr>
                <w:rFonts w:ascii="Century Gothic" w:hAnsi="Century Gothic"/>
                <w:sz w:val="18"/>
                <w:szCs w:val="18"/>
              </w:rPr>
              <w:t>il est nécessaire de</w:t>
            </w:r>
            <w:r w:rsidR="00C878E5" w:rsidRPr="00EA1B9E">
              <w:rPr>
                <w:rFonts w:ascii="Century Gothic" w:hAnsi="Century Gothic"/>
                <w:sz w:val="18"/>
                <w:szCs w:val="18"/>
              </w:rPr>
              <w:t> :</w:t>
            </w:r>
          </w:p>
          <w:p w14:paraId="378BD16E" w14:textId="77777777" w:rsidR="00E4032D" w:rsidRPr="00C46F74" w:rsidRDefault="00E4032D" w:rsidP="000C465B">
            <w:pPr>
              <w:pStyle w:val="Paragraphedeliste"/>
              <w:numPr>
                <w:ilvl w:val="0"/>
                <w:numId w:val="5"/>
              </w:numPr>
              <w:spacing w:after="120" w:line="360" w:lineRule="auto"/>
              <w:ind w:left="191" w:hanging="191"/>
              <w:contextualSpacing w:val="0"/>
              <w:rPr>
                <w:rFonts w:ascii="Century Gothic" w:hAnsi="Century Gothic"/>
                <w:sz w:val="18"/>
                <w:szCs w:val="18"/>
              </w:rPr>
            </w:pPr>
            <w:r w:rsidRPr="00C46F74">
              <w:rPr>
                <w:rFonts w:ascii="Century Gothic" w:hAnsi="Century Gothic"/>
                <w:sz w:val="18"/>
                <w:szCs w:val="18"/>
              </w:rPr>
              <w:t>Poursuivre la prospection foncière engagée sur ces deux périmètres.</w:t>
            </w:r>
          </w:p>
          <w:p w14:paraId="6A424D4B" w14:textId="23DE8133" w:rsidR="00E4032D" w:rsidRPr="00E4032D" w:rsidRDefault="00E4032D" w:rsidP="000C465B">
            <w:pPr>
              <w:pStyle w:val="Paragraphedeliste"/>
              <w:numPr>
                <w:ilvl w:val="0"/>
                <w:numId w:val="5"/>
              </w:numPr>
              <w:spacing w:after="120" w:line="360" w:lineRule="auto"/>
              <w:ind w:left="191" w:hanging="191"/>
              <w:contextualSpacing w:val="0"/>
              <w:rPr>
                <w:rFonts w:ascii="Century Gothic" w:hAnsi="Century Gothic"/>
              </w:rPr>
            </w:pPr>
            <w:r w:rsidRPr="00C46F74">
              <w:rPr>
                <w:rFonts w:ascii="Century Gothic" w:hAnsi="Century Gothic"/>
                <w:sz w:val="18"/>
                <w:szCs w:val="18"/>
              </w:rPr>
              <w:t xml:space="preserve">Mettre en place </w:t>
            </w:r>
            <w:r w:rsidR="00C46F74" w:rsidRPr="00EA1B9E">
              <w:rPr>
                <w:rFonts w:ascii="Century Gothic" w:hAnsi="Century Gothic"/>
                <w:sz w:val="18"/>
                <w:szCs w:val="18"/>
              </w:rPr>
              <w:t xml:space="preserve">des modalités d’intervention plus ciblées </w:t>
            </w:r>
            <w:r w:rsidRPr="00C46F74">
              <w:rPr>
                <w:rFonts w:ascii="Century Gothic" w:hAnsi="Century Gothic"/>
                <w:sz w:val="18"/>
                <w:szCs w:val="18"/>
              </w:rPr>
              <w:t>sur les espaces naturels où il n’y a pas de DP ENS</w:t>
            </w:r>
            <w:r w:rsidR="00F35B06" w:rsidRPr="00C46F74">
              <w:rPr>
                <w:rFonts w:ascii="Century Gothic" w:hAnsi="Century Gothic"/>
                <w:sz w:val="18"/>
                <w:szCs w:val="18"/>
              </w:rPr>
              <w:t xml:space="preserve"> (cf. Convention de partenariat entre CD974 et CDL du 08/07/2024)</w:t>
            </w:r>
            <w:r w:rsidRPr="00C46F74">
              <w:rPr>
                <w:rFonts w:ascii="Century Gothic" w:hAnsi="Century Gothic"/>
                <w:sz w:val="18"/>
                <w:szCs w:val="18"/>
              </w:rPr>
              <w:t>.</w:t>
            </w:r>
          </w:p>
        </w:tc>
      </w:tr>
    </w:tbl>
    <w:p w14:paraId="61D7325F" w14:textId="77777777" w:rsidR="00F84D5E" w:rsidRDefault="00F84D5E">
      <w:r>
        <w:br w:type="page"/>
      </w:r>
    </w:p>
    <w:tbl>
      <w:tblPr>
        <w:tblW w:w="930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9"/>
        <w:gridCol w:w="2569"/>
        <w:gridCol w:w="2407"/>
        <w:gridCol w:w="1918"/>
      </w:tblGrid>
      <w:tr w:rsidR="00C541C0" w:rsidRPr="00242EF2" w14:paraId="7F0587BC" w14:textId="77777777" w:rsidTr="00896567">
        <w:tc>
          <w:tcPr>
            <w:tcW w:w="9303" w:type="dxa"/>
            <w:gridSpan w:val="4"/>
            <w:tcBorders>
              <w:bottom w:val="single" w:sz="4" w:space="0" w:color="auto"/>
            </w:tcBorders>
          </w:tcPr>
          <w:p w14:paraId="5FF00ACD" w14:textId="6D6132E3" w:rsidR="00C541C0" w:rsidRPr="00242EF2" w:rsidRDefault="00783287" w:rsidP="00462B2E">
            <w:pPr>
              <w:spacing w:after="120" w:line="36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242EF2">
              <w:rPr>
                <w:rFonts w:ascii="Century Gothic" w:hAnsi="Century Gothic"/>
                <w:b/>
                <w:bCs/>
                <w:sz w:val="18"/>
                <w:szCs w:val="18"/>
              </w:rPr>
              <w:lastRenderedPageBreak/>
              <w:t>Action opérationnelle</w:t>
            </w:r>
            <w:r w:rsidR="000104C4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 : </w:t>
            </w:r>
            <w:r w:rsidRPr="00242EF2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</w:t>
            </w:r>
            <w:r w:rsidR="00E04A3F">
              <w:rPr>
                <w:rFonts w:ascii="Century Gothic" w:hAnsi="Century Gothic"/>
                <w:b/>
                <w:bCs/>
                <w:sz w:val="18"/>
                <w:szCs w:val="18"/>
              </w:rPr>
              <w:t>optimiser l’</w:t>
            </w:r>
            <w:r w:rsidR="00BB6ECA">
              <w:rPr>
                <w:rFonts w:ascii="Century Gothic" w:hAnsi="Century Gothic"/>
                <w:b/>
                <w:bCs/>
                <w:sz w:val="18"/>
                <w:szCs w:val="18"/>
              </w:rPr>
              <w:t>i</w:t>
            </w:r>
            <w:r w:rsidR="000104C4" w:rsidRPr="00BB6ECA">
              <w:rPr>
                <w:rFonts w:ascii="Century Gothic" w:hAnsi="Century Gothic"/>
                <w:b/>
                <w:bCs/>
                <w:sz w:val="18"/>
                <w:szCs w:val="18"/>
              </w:rPr>
              <w:t>ntervention foncière du Conservatoire du Littoral</w:t>
            </w:r>
          </w:p>
          <w:p w14:paraId="0719CEE3" w14:textId="322A27B4" w:rsidR="00365572" w:rsidRPr="00F66897" w:rsidRDefault="00AB4101" w:rsidP="00462B2E">
            <w:pPr>
              <w:numPr>
                <w:ilvl w:val="0"/>
                <w:numId w:val="4"/>
              </w:numPr>
              <w:spacing w:after="120" w:line="360" w:lineRule="auto"/>
              <w:ind w:left="284" w:hanging="284"/>
              <w:rPr>
                <w:rFonts w:ascii="Century Gothic" w:hAnsi="Century Gothic"/>
                <w:sz w:val="18"/>
                <w:szCs w:val="18"/>
              </w:rPr>
            </w:pPr>
            <w:r w:rsidRPr="00F66897">
              <w:rPr>
                <w:rFonts w:ascii="Century Gothic" w:hAnsi="Century Gothic"/>
                <w:sz w:val="18"/>
                <w:szCs w:val="18"/>
              </w:rPr>
              <w:t xml:space="preserve">Division parcellaire avant </w:t>
            </w:r>
            <w:r w:rsidR="00E367D3" w:rsidRPr="00F66897">
              <w:rPr>
                <w:rFonts w:ascii="Century Gothic" w:hAnsi="Century Gothic"/>
                <w:sz w:val="18"/>
                <w:szCs w:val="18"/>
              </w:rPr>
              <w:t>le c</w:t>
            </w:r>
            <w:r w:rsidR="00365572" w:rsidRPr="00F66897">
              <w:rPr>
                <w:rFonts w:ascii="Century Gothic" w:hAnsi="Century Gothic"/>
                <w:sz w:val="18"/>
                <w:szCs w:val="18"/>
              </w:rPr>
              <w:t xml:space="preserve">lassement </w:t>
            </w:r>
            <w:r w:rsidR="00E367D3" w:rsidRPr="00F66897">
              <w:rPr>
                <w:rFonts w:ascii="Century Gothic" w:hAnsi="Century Gothic"/>
                <w:sz w:val="18"/>
                <w:szCs w:val="18"/>
              </w:rPr>
              <w:t xml:space="preserve">partiel en U </w:t>
            </w:r>
            <w:r w:rsidR="00321635" w:rsidRPr="00F66897">
              <w:rPr>
                <w:rFonts w:ascii="Century Gothic" w:hAnsi="Century Gothic"/>
                <w:sz w:val="18"/>
                <w:szCs w:val="18"/>
              </w:rPr>
              <w:t>d’une parcelle en N.</w:t>
            </w:r>
          </w:p>
          <w:p w14:paraId="18760B94" w14:textId="4F04D2DA" w:rsidR="00C463B9" w:rsidRDefault="006A5DAD" w:rsidP="00462B2E">
            <w:pPr>
              <w:numPr>
                <w:ilvl w:val="0"/>
                <w:numId w:val="4"/>
              </w:numPr>
              <w:spacing w:after="120" w:line="360" w:lineRule="auto"/>
              <w:ind w:left="284" w:hanging="284"/>
              <w:rPr>
                <w:rFonts w:ascii="Century Gothic" w:hAnsi="Century Gothic"/>
                <w:sz w:val="18"/>
                <w:szCs w:val="18"/>
              </w:rPr>
            </w:pPr>
            <w:r w:rsidRPr="00F66897">
              <w:rPr>
                <w:rFonts w:ascii="Century Gothic" w:hAnsi="Century Gothic"/>
                <w:sz w:val="18"/>
                <w:szCs w:val="18"/>
              </w:rPr>
              <w:t xml:space="preserve">Veille sur les certificats d’urbanisme </w:t>
            </w:r>
            <w:r w:rsidR="00B01129" w:rsidRPr="00F66897">
              <w:rPr>
                <w:rFonts w:ascii="Century Gothic" w:hAnsi="Century Gothic"/>
                <w:sz w:val="18"/>
                <w:szCs w:val="18"/>
              </w:rPr>
              <w:t xml:space="preserve">par la Commune </w:t>
            </w:r>
            <w:r w:rsidRPr="00F66897">
              <w:rPr>
                <w:rFonts w:ascii="Century Gothic" w:hAnsi="Century Gothic"/>
                <w:sz w:val="18"/>
                <w:szCs w:val="18"/>
              </w:rPr>
              <w:t>pour a</w:t>
            </w:r>
            <w:r w:rsidR="00B23F86" w:rsidRPr="00F66897">
              <w:rPr>
                <w:rFonts w:ascii="Century Gothic" w:hAnsi="Century Gothic"/>
                <w:sz w:val="18"/>
                <w:szCs w:val="18"/>
              </w:rPr>
              <w:t xml:space="preserve">nticiper </w:t>
            </w:r>
            <w:r w:rsidR="007D01BB" w:rsidRPr="00F66897">
              <w:rPr>
                <w:rFonts w:ascii="Century Gothic" w:hAnsi="Century Gothic"/>
                <w:sz w:val="18"/>
                <w:szCs w:val="18"/>
              </w:rPr>
              <w:t>sur les ventes potentielles</w:t>
            </w:r>
            <w:r w:rsidRPr="00F66897">
              <w:rPr>
                <w:rFonts w:ascii="Century Gothic" w:hAnsi="Century Gothic"/>
                <w:sz w:val="18"/>
                <w:szCs w:val="18"/>
              </w:rPr>
              <w:t>.</w:t>
            </w:r>
          </w:p>
          <w:p w14:paraId="4AEEFB74" w14:textId="6356E508" w:rsidR="00E65103" w:rsidRPr="00AD6EDD" w:rsidRDefault="00B11014" w:rsidP="00462B2E">
            <w:pPr>
              <w:numPr>
                <w:ilvl w:val="0"/>
                <w:numId w:val="4"/>
              </w:numPr>
              <w:spacing w:after="120" w:line="360" w:lineRule="auto"/>
              <w:ind w:left="284" w:hanging="284"/>
              <w:rPr>
                <w:rFonts w:ascii="Century Gothic" w:hAnsi="Century Gothic"/>
                <w:color w:val="EE0000"/>
                <w:sz w:val="18"/>
                <w:szCs w:val="18"/>
              </w:rPr>
            </w:pPr>
            <w:r>
              <w:rPr>
                <w:rFonts w:ascii="Century Gothic" w:hAnsi="Century Gothic"/>
                <w:color w:val="EE0000"/>
                <w:sz w:val="18"/>
                <w:szCs w:val="18"/>
              </w:rPr>
              <w:t>I</w:t>
            </w:r>
            <w:r w:rsidR="00E65103" w:rsidRPr="00AD6EDD">
              <w:rPr>
                <w:rFonts w:ascii="Century Gothic" w:hAnsi="Century Gothic"/>
                <w:color w:val="EE0000"/>
                <w:sz w:val="18"/>
                <w:szCs w:val="18"/>
              </w:rPr>
              <w:t xml:space="preserve">nformation des notaires sur leur obligation d’informer les acquéreurs </w:t>
            </w:r>
            <w:r w:rsidR="00AD6EDD" w:rsidRPr="00AD6EDD">
              <w:rPr>
                <w:rFonts w:ascii="Century Gothic" w:hAnsi="Century Gothic"/>
                <w:color w:val="EE0000"/>
                <w:sz w:val="18"/>
                <w:szCs w:val="18"/>
              </w:rPr>
              <w:t>du droit de préemption qui s’exerce par le Département</w:t>
            </w:r>
            <w:r w:rsidR="00AD6EDD">
              <w:rPr>
                <w:rFonts w:ascii="Century Gothic" w:hAnsi="Century Gothic"/>
                <w:color w:val="EE0000"/>
                <w:sz w:val="18"/>
                <w:szCs w:val="18"/>
              </w:rPr>
              <w:t xml:space="preserve"> </w:t>
            </w:r>
            <w:r w:rsidR="00873058">
              <w:rPr>
                <w:rFonts w:ascii="Century Gothic" w:hAnsi="Century Gothic"/>
                <w:color w:val="EE0000"/>
                <w:sz w:val="18"/>
                <w:szCs w:val="18"/>
              </w:rPr>
              <w:t xml:space="preserve">dans le périmètre </w:t>
            </w:r>
            <w:r w:rsidR="00AD6EDD">
              <w:rPr>
                <w:rFonts w:ascii="Century Gothic" w:hAnsi="Century Gothic"/>
                <w:color w:val="EE0000"/>
                <w:sz w:val="18"/>
                <w:szCs w:val="18"/>
              </w:rPr>
              <w:t>du PAEN</w:t>
            </w:r>
            <w:r w:rsidR="009830E4">
              <w:rPr>
                <w:rFonts w:ascii="Century Gothic" w:hAnsi="Century Gothic"/>
                <w:color w:val="EE0000"/>
                <w:sz w:val="18"/>
                <w:szCs w:val="18"/>
              </w:rPr>
              <w:t xml:space="preserve"> et de l’</w:t>
            </w:r>
            <w:r w:rsidR="00873058">
              <w:rPr>
                <w:rFonts w:ascii="Century Gothic" w:hAnsi="Century Gothic"/>
                <w:color w:val="EE0000"/>
                <w:sz w:val="18"/>
                <w:szCs w:val="18"/>
              </w:rPr>
              <w:t>impossibilité de « déclassement »</w:t>
            </w:r>
            <w:r w:rsidR="00AD6EDD" w:rsidRPr="00AD6EDD">
              <w:rPr>
                <w:rFonts w:ascii="Century Gothic" w:hAnsi="Century Gothic"/>
                <w:color w:val="EE0000"/>
                <w:sz w:val="18"/>
                <w:szCs w:val="18"/>
              </w:rPr>
              <w:t>.</w:t>
            </w:r>
          </w:p>
          <w:p w14:paraId="791A7F85" w14:textId="77777777" w:rsidR="001E4D14" w:rsidRDefault="001E4D14" w:rsidP="001E4D14">
            <w:pPr>
              <w:numPr>
                <w:ilvl w:val="0"/>
                <w:numId w:val="4"/>
              </w:numPr>
              <w:spacing w:after="120" w:line="360" w:lineRule="auto"/>
              <w:ind w:left="284" w:hanging="284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Saisine par le Conservatoire du Littoral des acteurs concernés par la création de la zone de préemption propre (Commune, Département, Chambre d’Agriculture, SAFER).</w:t>
            </w:r>
          </w:p>
          <w:p w14:paraId="22857E0C" w14:textId="50B11B60" w:rsidR="00005D43" w:rsidRPr="007F2AF4" w:rsidRDefault="00B60724" w:rsidP="00462B2E">
            <w:pPr>
              <w:numPr>
                <w:ilvl w:val="0"/>
                <w:numId w:val="4"/>
              </w:numPr>
              <w:spacing w:after="120" w:line="360" w:lineRule="auto"/>
              <w:ind w:left="284" w:hanging="284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color w:val="EE0000"/>
                <w:sz w:val="18"/>
                <w:szCs w:val="18"/>
              </w:rPr>
              <w:t xml:space="preserve">Convention de délégation du </w:t>
            </w:r>
            <w:r w:rsidR="00B01EB3">
              <w:rPr>
                <w:rFonts w:ascii="Century Gothic" w:hAnsi="Century Gothic"/>
                <w:color w:val="EE0000"/>
                <w:sz w:val="18"/>
                <w:szCs w:val="18"/>
              </w:rPr>
              <w:t xml:space="preserve">droit de préemption du </w:t>
            </w:r>
            <w:r>
              <w:rPr>
                <w:rFonts w:ascii="Century Gothic" w:hAnsi="Century Gothic"/>
                <w:color w:val="EE0000"/>
                <w:sz w:val="18"/>
                <w:szCs w:val="18"/>
              </w:rPr>
              <w:t>Département au Conservatoire</w:t>
            </w:r>
            <w:r w:rsidR="004152EA">
              <w:rPr>
                <w:rFonts w:ascii="Century Gothic" w:hAnsi="Century Gothic"/>
                <w:color w:val="EE0000"/>
                <w:sz w:val="18"/>
                <w:szCs w:val="18"/>
              </w:rPr>
              <w:t xml:space="preserve"> du Littoral</w:t>
            </w:r>
            <w:r w:rsidR="000F7AC5">
              <w:rPr>
                <w:rFonts w:ascii="Century Gothic" w:hAnsi="Century Gothic"/>
                <w:color w:val="EE0000"/>
                <w:sz w:val="18"/>
                <w:szCs w:val="18"/>
              </w:rPr>
              <w:t xml:space="preserve"> sur sa zone de préemption spécifique</w:t>
            </w:r>
            <w:r w:rsidR="00B01EB3">
              <w:rPr>
                <w:rFonts w:ascii="Century Gothic" w:hAnsi="Century Gothic"/>
                <w:color w:val="EE0000"/>
                <w:sz w:val="18"/>
                <w:szCs w:val="18"/>
              </w:rPr>
              <w:t>.</w:t>
            </w:r>
          </w:p>
          <w:p w14:paraId="792E52C7" w14:textId="0AD4090B" w:rsidR="007F2AF4" w:rsidRPr="00F66897" w:rsidRDefault="007F2AF4" w:rsidP="00462B2E">
            <w:pPr>
              <w:numPr>
                <w:ilvl w:val="0"/>
                <w:numId w:val="4"/>
              </w:numPr>
              <w:spacing w:after="120" w:line="360" w:lineRule="auto"/>
              <w:ind w:left="284" w:hanging="284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color w:val="EE0000"/>
                <w:sz w:val="18"/>
                <w:szCs w:val="18"/>
              </w:rPr>
              <w:t xml:space="preserve">Formalisation de l’organisation de la </w:t>
            </w:r>
            <w:r w:rsidR="00005959">
              <w:rPr>
                <w:rFonts w:ascii="Century Gothic" w:hAnsi="Century Gothic"/>
                <w:color w:val="EE0000"/>
                <w:sz w:val="18"/>
                <w:szCs w:val="18"/>
              </w:rPr>
              <w:t xml:space="preserve">veille </w:t>
            </w:r>
            <w:r>
              <w:rPr>
                <w:rFonts w:ascii="Century Gothic" w:hAnsi="Century Gothic"/>
                <w:color w:val="EE0000"/>
                <w:sz w:val="18"/>
                <w:szCs w:val="18"/>
              </w:rPr>
              <w:t>foncière</w:t>
            </w:r>
            <w:r w:rsidR="00005959">
              <w:rPr>
                <w:rFonts w:ascii="Century Gothic" w:hAnsi="Century Gothic"/>
                <w:color w:val="EE0000"/>
                <w:sz w:val="18"/>
                <w:szCs w:val="18"/>
              </w:rPr>
              <w:t xml:space="preserve"> entre le Département, la Commune, </w:t>
            </w:r>
            <w:r w:rsidR="004152EA">
              <w:rPr>
                <w:rFonts w:ascii="Century Gothic" w:hAnsi="Century Gothic"/>
                <w:color w:val="EE0000"/>
                <w:sz w:val="18"/>
                <w:szCs w:val="18"/>
              </w:rPr>
              <w:t xml:space="preserve">la SAFER et le </w:t>
            </w:r>
            <w:r w:rsidR="00005959">
              <w:rPr>
                <w:rFonts w:ascii="Century Gothic" w:hAnsi="Century Gothic"/>
                <w:color w:val="EE0000"/>
                <w:sz w:val="18"/>
                <w:szCs w:val="18"/>
              </w:rPr>
              <w:t>Conservatoire</w:t>
            </w:r>
            <w:r w:rsidR="004152EA">
              <w:rPr>
                <w:rFonts w:ascii="Century Gothic" w:hAnsi="Century Gothic"/>
                <w:color w:val="EE0000"/>
                <w:sz w:val="18"/>
                <w:szCs w:val="18"/>
              </w:rPr>
              <w:t xml:space="preserve"> du Littoral</w:t>
            </w:r>
            <w:r>
              <w:rPr>
                <w:rFonts w:ascii="Century Gothic" w:hAnsi="Century Gothic"/>
                <w:color w:val="EE0000"/>
                <w:sz w:val="18"/>
                <w:szCs w:val="18"/>
              </w:rPr>
              <w:t>.</w:t>
            </w:r>
          </w:p>
          <w:p w14:paraId="335C8275" w14:textId="51BF978A" w:rsidR="006008F9" w:rsidRPr="00993C03" w:rsidRDefault="00993C03" w:rsidP="00462B2E">
            <w:pPr>
              <w:numPr>
                <w:ilvl w:val="0"/>
                <w:numId w:val="4"/>
              </w:numPr>
              <w:spacing w:after="120" w:line="360" w:lineRule="auto"/>
              <w:ind w:left="284" w:hanging="284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Suivi systématique et coordonné des déclarations d’intention d’aliéner, entre le Département, </w:t>
            </w:r>
            <w:r w:rsidR="003238BD">
              <w:rPr>
                <w:rFonts w:ascii="Century Gothic" w:hAnsi="Century Gothic"/>
                <w:color w:val="EE0000"/>
                <w:sz w:val="18"/>
                <w:szCs w:val="18"/>
              </w:rPr>
              <w:t>la Commune</w:t>
            </w:r>
            <w:r w:rsidR="006F6D3F">
              <w:rPr>
                <w:rFonts w:ascii="Century Gothic" w:hAnsi="Century Gothic"/>
                <w:color w:val="EE0000"/>
                <w:sz w:val="18"/>
                <w:szCs w:val="18"/>
              </w:rPr>
              <w:t xml:space="preserve">, </w:t>
            </w:r>
            <w:r>
              <w:rPr>
                <w:rFonts w:ascii="Century Gothic" w:hAnsi="Century Gothic"/>
                <w:sz w:val="18"/>
                <w:szCs w:val="18"/>
              </w:rPr>
              <w:t>la SAFER et le Conservatoire du Littoral</w:t>
            </w:r>
            <w:r w:rsidR="007F2AF4">
              <w:rPr>
                <w:rFonts w:ascii="Century Gothic" w:hAnsi="Century Gothic"/>
                <w:sz w:val="18"/>
                <w:szCs w:val="18"/>
              </w:rPr>
              <w:t>.</w:t>
            </w:r>
          </w:p>
        </w:tc>
      </w:tr>
      <w:tr w:rsidR="00896567" w:rsidRPr="00CB02D9" w14:paraId="1E7CE92D" w14:textId="77777777" w:rsidTr="00896567">
        <w:tc>
          <w:tcPr>
            <w:tcW w:w="93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56DD4" w14:textId="77777777" w:rsidR="00896567" w:rsidRPr="00CB02D9" w:rsidRDefault="00896567" w:rsidP="00896567">
            <w:pPr>
              <w:spacing w:line="360" w:lineRule="auto"/>
              <w:rPr>
                <w:rFonts w:ascii="Century Gothic" w:hAnsi="Century Gothic"/>
                <w:b/>
                <w:bCs/>
              </w:rPr>
            </w:pPr>
            <w:r w:rsidRPr="00CB02D9">
              <w:rPr>
                <w:rFonts w:ascii="Century Gothic" w:hAnsi="Century Gothic"/>
                <w:b/>
                <w:bCs/>
              </w:rPr>
              <w:t>Cadre réglementaire</w:t>
            </w:r>
          </w:p>
          <w:p w14:paraId="6B7C66B4" w14:textId="1203ADED" w:rsidR="00896567" w:rsidRPr="00CB02D9" w:rsidRDefault="00896567" w:rsidP="00896567">
            <w:pPr>
              <w:spacing w:line="360" w:lineRule="auto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sz w:val="18"/>
                <w:szCs w:val="18"/>
              </w:rPr>
              <w:t>Code de l’urbanisme</w:t>
            </w:r>
          </w:p>
        </w:tc>
      </w:tr>
      <w:tr w:rsidR="00C541C0" w:rsidRPr="00CB02D9" w14:paraId="5E611D64" w14:textId="77777777" w:rsidTr="00896567">
        <w:tc>
          <w:tcPr>
            <w:tcW w:w="93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94F70" w14:textId="77777777" w:rsidR="006008F9" w:rsidRDefault="00C541C0" w:rsidP="001808DC">
            <w:pPr>
              <w:spacing w:line="360" w:lineRule="auto"/>
              <w:rPr>
                <w:rFonts w:ascii="Century Gothic" w:hAnsi="Century Gothic"/>
                <w:b/>
                <w:bCs/>
              </w:rPr>
            </w:pPr>
            <w:r w:rsidRPr="00CB02D9">
              <w:rPr>
                <w:rFonts w:ascii="Century Gothic" w:hAnsi="Century Gothic"/>
                <w:b/>
                <w:bCs/>
              </w:rPr>
              <w:t xml:space="preserve">Lien avec </w:t>
            </w:r>
            <w:r w:rsidR="00783287">
              <w:rPr>
                <w:rFonts w:ascii="Century Gothic" w:hAnsi="Century Gothic"/>
                <w:b/>
                <w:bCs/>
              </w:rPr>
              <w:t xml:space="preserve">les autres actions </w:t>
            </w:r>
            <w:r w:rsidR="00056FF0">
              <w:rPr>
                <w:rFonts w:ascii="Century Gothic" w:hAnsi="Century Gothic"/>
                <w:b/>
                <w:bCs/>
              </w:rPr>
              <w:t>du p</w:t>
            </w:r>
            <w:r w:rsidR="005E2D68">
              <w:rPr>
                <w:rFonts w:ascii="Century Gothic" w:hAnsi="Century Gothic"/>
                <w:b/>
                <w:bCs/>
              </w:rPr>
              <w:t>r</w:t>
            </w:r>
            <w:r w:rsidR="00056FF0">
              <w:rPr>
                <w:rFonts w:ascii="Century Gothic" w:hAnsi="Century Gothic"/>
                <w:b/>
                <w:bCs/>
              </w:rPr>
              <w:t xml:space="preserve">ogramme d’action </w:t>
            </w:r>
            <w:r w:rsidR="00783287">
              <w:rPr>
                <w:rFonts w:ascii="Century Gothic" w:hAnsi="Century Gothic"/>
                <w:b/>
                <w:bCs/>
              </w:rPr>
              <w:t xml:space="preserve">voire </w:t>
            </w:r>
            <w:r w:rsidR="005C3836" w:rsidRPr="00CB02D9">
              <w:rPr>
                <w:rFonts w:ascii="Century Gothic" w:hAnsi="Century Gothic"/>
                <w:b/>
                <w:bCs/>
              </w:rPr>
              <w:t>programmes</w:t>
            </w:r>
            <w:r w:rsidRPr="00CB02D9">
              <w:rPr>
                <w:rFonts w:ascii="Century Gothic" w:hAnsi="Century Gothic"/>
                <w:b/>
                <w:bCs/>
              </w:rPr>
              <w:t xml:space="preserve"> extérieurs</w:t>
            </w:r>
          </w:p>
          <w:p w14:paraId="6B34A9C0" w14:textId="52B71B19" w:rsidR="008C4C23" w:rsidRPr="006627E3" w:rsidRDefault="003165A1" w:rsidP="00724C0D">
            <w:pPr>
              <w:pStyle w:val="Paragraphedeliste"/>
              <w:numPr>
                <w:ilvl w:val="0"/>
                <w:numId w:val="6"/>
              </w:numPr>
              <w:spacing w:after="120" w:line="360" w:lineRule="auto"/>
              <w:ind w:left="492" w:hanging="283"/>
              <w:rPr>
                <w:rFonts w:ascii="Century Gothic" w:hAnsi="Century Gothic"/>
                <w:b/>
                <w:bCs/>
              </w:rPr>
            </w:pPr>
            <w:r w:rsidRPr="005166F1">
              <w:rPr>
                <w:rFonts w:ascii="Century Gothic" w:hAnsi="Century Gothic"/>
                <w:b/>
                <w:bCs/>
                <w:i/>
                <w:iCs/>
                <w:color w:val="E9571C"/>
                <w:sz w:val="18"/>
              </w:rPr>
              <w:t>Maitriser les constructions et occupations du sol non agricoles</w:t>
            </w:r>
          </w:p>
        </w:tc>
      </w:tr>
      <w:tr w:rsidR="001808DC" w:rsidRPr="00CB02D9" w14:paraId="7655D172" w14:textId="77777777" w:rsidTr="00896567">
        <w:trPr>
          <w:trHeight w:val="60"/>
        </w:trPr>
        <w:tc>
          <w:tcPr>
            <w:tcW w:w="9303" w:type="dxa"/>
            <w:gridSpan w:val="4"/>
            <w:tcBorders>
              <w:top w:val="single" w:sz="4" w:space="0" w:color="auto"/>
            </w:tcBorders>
          </w:tcPr>
          <w:p w14:paraId="051E4BFD" w14:textId="1BAEEEEB" w:rsidR="001808DC" w:rsidRPr="00CB02D9" w:rsidRDefault="001808DC" w:rsidP="001808DC">
            <w:pPr>
              <w:spacing w:line="360" w:lineRule="auto"/>
              <w:rPr>
                <w:rFonts w:ascii="Century Gothic" w:hAnsi="Century Gothic"/>
                <w:b/>
                <w:bCs/>
              </w:rPr>
            </w:pPr>
            <w:r w:rsidRPr="00CB02D9">
              <w:rPr>
                <w:rFonts w:ascii="Century Gothic" w:hAnsi="Century Gothic"/>
                <w:b/>
                <w:bCs/>
              </w:rPr>
              <w:t>Montage</w:t>
            </w:r>
          </w:p>
        </w:tc>
      </w:tr>
      <w:tr w:rsidR="007429FA" w:rsidRPr="005051F4" w14:paraId="063E3CA7" w14:textId="77777777" w:rsidTr="008C307B">
        <w:trPr>
          <w:trHeight w:val="60"/>
        </w:trPr>
        <w:tc>
          <w:tcPr>
            <w:tcW w:w="9303" w:type="dxa"/>
            <w:gridSpan w:val="4"/>
          </w:tcPr>
          <w:p w14:paraId="221B23EF" w14:textId="318D376A" w:rsidR="007429FA" w:rsidRPr="005051F4" w:rsidRDefault="007429FA" w:rsidP="00B72768">
            <w:pPr>
              <w:spacing w:line="360" w:lineRule="auto"/>
              <w:ind w:right="-108"/>
              <w:rPr>
                <w:rFonts w:ascii="Century Gothic" w:hAnsi="Century Gothic"/>
                <w:sz w:val="18"/>
                <w:szCs w:val="18"/>
                <w:highlight w:val="yellow"/>
              </w:rPr>
            </w:pPr>
            <w:r w:rsidRPr="00FB62F8">
              <w:rPr>
                <w:rFonts w:ascii="Century Gothic" w:hAnsi="Century Gothic"/>
                <w:sz w:val="18"/>
                <w:szCs w:val="18"/>
              </w:rPr>
              <w:t xml:space="preserve">Pilote de l’action : 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C102B">
              <w:rPr>
                <w:rFonts w:ascii="Century Gothic" w:hAnsi="Century Gothic"/>
                <w:sz w:val="18"/>
                <w:szCs w:val="18"/>
              </w:rPr>
              <w:t>Conservatoire du Littoral</w:t>
            </w:r>
          </w:p>
        </w:tc>
      </w:tr>
      <w:tr w:rsidR="0030327C" w:rsidRPr="00410A70" w14:paraId="2EDF675D" w14:textId="77777777" w:rsidTr="007C346A">
        <w:trPr>
          <w:trHeight w:val="60"/>
        </w:trPr>
        <w:tc>
          <w:tcPr>
            <w:tcW w:w="9303" w:type="dxa"/>
            <w:gridSpan w:val="4"/>
          </w:tcPr>
          <w:p w14:paraId="1CA98852" w14:textId="3CA58885" w:rsidR="0030327C" w:rsidRPr="00410A70" w:rsidRDefault="0030327C" w:rsidP="001808DC">
            <w:pPr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  <w:r w:rsidRPr="00FB62F8">
              <w:rPr>
                <w:rFonts w:ascii="Century Gothic" w:hAnsi="Century Gothic"/>
                <w:sz w:val="18"/>
                <w:szCs w:val="18"/>
              </w:rPr>
              <w:t xml:space="preserve">Partenaires : </w:t>
            </w:r>
            <w:r w:rsidR="000A72FD">
              <w:rPr>
                <w:rFonts w:ascii="Century Gothic" w:hAnsi="Century Gothic"/>
                <w:sz w:val="18"/>
                <w:szCs w:val="18"/>
              </w:rPr>
              <w:t>Département/</w:t>
            </w:r>
            <w:r w:rsidR="008C102B" w:rsidRPr="00FB62F8">
              <w:rPr>
                <w:rFonts w:ascii="Century Gothic" w:hAnsi="Century Gothic"/>
                <w:sz w:val="18"/>
                <w:szCs w:val="18"/>
              </w:rPr>
              <w:t>Commune</w:t>
            </w:r>
            <w:r w:rsidR="007429FA">
              <w:rPr>
                <w:rFonts w:ascii="Century Gothic" w:hAnsi="Century Gothic"/>
                <w:sz w:val="18"/>
                <w:szCs w:val="18"/>
              </w:rPr>
              <w:t>/</w:t>
            </w:r>
            <w:r w:rsidR="008C102B">
              <w:rPr>
                <w:rFonts w:ascii="Century Gothic" w:hAnsi="Century Gothic"/>
                <w:sz w:val="18"/>
                <w:szCs w:val="18"/>
              </w:rPr>
              <w:t>Chambre d’Agriculture</w:t>
            </w:r>
            <w:r w:rsidR="000A72FD">
              <w:rPr>
                <w:rFonts w:ascii="Century Gothic" w:hAnsi="Century Gothic"/>
                <w:sz w:val="18"/>
                <w:szCs w:val="18"/>
              </w:rPr>
              <w:t>/</w:t>
            </w:r>
            <w:r w:rsidR="008C102B">
              <w:rPr>
                <w:rFonts w:ascii="Century Gothic" w:hAnsi="Century Gothic"/>
                <w:sz w:val="18"/>
                <w:szCs w:val="18"/>
              </w:rPr>
              <w:t>SAFER</w:t>
            </w:r>
          </w:p>
        </w:tc>
      </w:tr>
      <w:tr w:rsidR="0030327C" w:rsidRPr="00410A70" w14:paraId="4B0C1B9B" w14:textId="77777777" w:rsidTr="008E65BD">
        <w:trPr>
          <w:trHeight w:val="60"/>
        </w:trPr>
        <w:tc>
          <w:tcPr>
            <w:tcW w:w="9303" w:type="dxa"/>
            <w:gridSpan w:val="4"/>
            <w:tcBorders>
              <w:bottom w:val="single" w:sz="4" w:space="0" w:color="auto"/>
            </w:tcBorders>
          </w:tcPr>
          <w:p w14:paraId="026DD835" w14:textId="4AB827E4" w:rsidR="0030327C" w:rsidRPr="00410A70" w:rsidRDefault="0030327C" w:rsidP="001808DC">
            <w:pPr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  <w:r w:rsidRPr="00FB62F8">
              <w:rPr>
                <w:rFonts w:ascii="Century Gothic" w:hAnsi="Century Gothic"/>
                <w:sz w:val="18"/>
                <w:szCs w:val="18"/>
              </w:rPr>
              <w:t>Outils réglementaires ou contractuels :</w:t>
            </w:r>
            <w:r w:rsidRPr="00410A70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136391">
              <w:rPr>
                <w:rFonts w:ascii="Century Gothic" w:hAnsi="Century Gothic"/>
                <w:sz w:val="18"/>
                <w:szCs w:val="18"/>
              </w:rPr>
              <w:t>droit</w:t>
            </w:r>
            <w:r w:rsidR="00BD4C49">
              <w:rPr>
                <w:rFonts w:ascii="Century Gothic" w:hAnsi="Century Gothic"/>
                <w:sz w:val="18"/>
                <w:szCs w:val="18"/>
              </w:rPr>
              <w:t>s</w:t>
            </w:r>
            <w:r w:rsidR="00136391">
              <w:rPr>
                <w:rFonts w:ascii="Century Gothic" w:hAnsi="Century Gothic"/>
                <w:sz w:val="18"/>
                <w:szCs w:val="18"/>
              </w:rPr>
              <w:t xml:space="preserve"> de préemption </w:t>
            </w:r>
          </w:p>
        </w:tc>
      </w:tr>
      <w:tr w:rsidR="00056FF0" w:rsidRPr="00CB02D9" w14:paraId="47923223" w14:textId="77777777" w:rsidTr="008E65BD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A883" w14:textId="1CD17E9A" w:rsidR="00056FF0" w:rsidRPr="00CB02D9" w:rsidRDefault="00056FF0" w:rsidP="001808DC">
            <w:pPr>
              <w:spacing w:line="360" w:lineRule="auto"/>
              <w:rPr>
                <w:rFonts w:ascii="Century Gothic" w:hAnsi="Century Gothic"/>
              </w:rPr>
            </w:pPr>
            <w:r w:rsidRPr="00CB02D9">
              <w:rPr>
                <w:rFonts w:ascii="Century Gothic" w:hAnsi="Century Gothic"/>
                <w:b/>
                <w:bCs/>
              </w:rPr>
              <w:t>Calendrier et phasage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C24C7" w14:textId="312C537E" w:rsidR="00056FF0" w:rsidRPr="00CB02D9" w:rsidRDefault="005C3836" w:rsidP="001808DC">
            <w:pPr>
              <w:spacing w:line="360" w:lineRule="auto"/>
              <w:rPr>
                <w:rFonts w:ascii="Century Gothic" w:hAnsi="Century Gothic"/>
              </w:rPr>
            </w:pPr>
            <w:r>
              <w:rPr>
                <w:rFonts w:ascii="Century Gothic" w:eastAsia="Calibri" w:hAnsi="Century Gothic" w:cs="Times New Roman"/>
                <w:color w:val="7D7E7F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>
              <w:rPr>
                <w:rFonts w:ascii="Century Gothic" w:eastAsia="Calibri" w:hAnsi="Century Gothic" w:cs="Times New Roman"/>
                <w:color w:val="7D7E7F"/>
                <w:sz w:val="16"/>
                <w:lang w:eastAsia="en-US"/>
              </w:rPr>
              <w:instrText xml:space="preserve"> FORMCHECKBOX </w:instrText>
            </w:r>
            <w:r>
              <w:rPr>
                <w:rFonts w:ascii="Century Gothic" w:eastAsia="Calibri" w:hAnsi="Century Gothic" w:cs="Times New Roman"/>
                <w:color w:val="7D7E7F"/>
                <w:sz w:val="16"/>
                <w:lang w:eastAsia="en-US"/>
              </w:rPr>
            </w:r>
            <w:r>
              <w:rPr>
                <w:rFonts w:ascii="Century Gothic" w:eastAsia="Calibri" w:hAnsi="Century Gothic" w:cs="Times New Roman"/>
                <w:color w:val="7D7E7F"/>
                <w:sz w:val="16"/>
                <w:lang w:eastAsia="en-US"/>
              </w:rPr>
              <w:fldChar w:fldCharType="separate"/>
            </w:r>
            <w:r>
              <w:rPr>
                <w:rFonts w:ascii="Century Gothic" w:eastAsia="Calibri" w:hAnsi="Century Gothic" w:cs="Times New Roman"/>
                <w:color w:val="7D7E7F"/>
                <w:sz w:val="16"/>
                <w:lang w:eastAsia="en-US"/>
              </w:rPr>
              <w:fldChar w:fldCharType="end"/>
            </w:r>
            <w:r w:rsidR="00056FF0" w:rsidRPr="00421C67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8E65BD" w:rsidRPr="00CB02D9">
              <w:rPr>
                <w:rFonts w:ascii="Century Gothic" w:hAnsi="Century Gothic"/>
              </w:rPr>
              <w:t>Court</w:t>
            </w:r>
            <w:r w:rsidR="00056FF0" w:rsidRPr="00CB02D9">
              <w:rPr>
                <w:rFonts w:ascii="Century Gothic" w:hAnsi="Century Gothic"/>
              </w:rPr>
              <w:t xml:space="preserve"> terme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BCA7A" w14:textId="6A5F76C9" w:rsidR="00056FF0" w:rsidRPr="00CB02D9" w:rsidRDefault="00421C67" w:rsidP="001808DC">
            <w:pPr>
              <w:spacing w:line="360" w:lineRule="auto"/>
              <w:rPr>
                <w:rFonts w:ascii="Century Gothic" w:hAnsi="Century Gothic"/>
              </w:rPr>
            </w:pPr>
            <w:r w:rsidRPr="00421C67">
              <w:rPr>
                <w:rFonts w:ascii="Century Gothic" w:eastAsia="Calibri" w:hAnsi="Century Gothic" w:cs="Times New Roman"/>
                <w:color w:val="7D7E7F"/>
                <w:sz w:val="18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21C67">
              <w:rPr>
                <w:rFonts w:ascii="Century Gothic" w:eastAsia="Calibri" w:hAnsi="Century Gothic" w:cs="Times New Roman"/>
                <w:color w:val="7D7E7F"/>
                <w:sz w:val="18"/>
                <w:szCs w:val="22"/>
                <w:lang w:eastAsia="en-US"/>
              </w:rPr>
              <w:instrText xml:space="preserve"> FORMCHECKBOX </w:instrText>
            </w:r>
            <w:r w:rsidRPr="00421C67">
              <w:rPr>
                <w:rFonts w:ascii="Century Gothic" w:eastAsia="Calibri" w:hAnsi="Century Gothic" w:cs="Times New Roman"/>
                <w:color w:val="7D7E7F"/>
                <w:sz w:val="18"/>
                <w:szCs w:val="22"/>
                <w:lang w:eastAsia="en-US"/>
              </w:rPr>
            </w:r>
            <w:r w:rsidRPr="00421C67">
              <w:rPr>
                <w:rFonts w:ascii="Century Gothic" w:eastAsia="Calibri" w:hAnsi="Century Gothic" w:cs="Times New Roman"/>
                <w:color w:val="7D7E7F"/>
                <w:sz w:val="18"/>
                <w:szCs w:val="22"/>
                <w:lang w:eastAsia="en-US"/>
              </w:rPr>
              <w:fldChar w:fldCharType="separate"/>
            </w:r>
            <w:r w:rsidRPr="00421C67">
              <w:rPr>
                <w:rFonts w:ascii="Century Gothic" w:eastAsia="Calibri" w:hAnsi="Century Gothic" w:cs="Times New Roman"/>
                <w:color w:val="7D7E7F"/>
                <w:sz w:val="18"/>
                <w:szCs w:val="22"/>
                <w:lang w:eastAsia="en-US"/>
              </w:rPr>
              <w:fldChar w:fldCharType="end"/>
            </w:r>
            <w:r w:rsidR="00056FF0">
              <w:rPr>
                <w:rFonts w:ascii="Century Gothic" w:hAnsi="Century Gothic"/>
              </w:rPr>
              <w:t xml:space="preserve"> </w:t>
            </w:r>
            <w:r w:rsidR="008E65BD" w:rsidRPr="00CB02D9">
              <w:rPr>
                <w:rFonts w:ascii="Century Gothic" w:hAnsi="Century Gothic"/>
              </w:rPr>
              <w:t>Moyen</w:t>
            </w:r>
            <w:r w:rsidR="005C3836">
              <w:rPr>
                <w:rFonts w:ascii="Century Gothic" w:hAnsi="Century Gothic"/>
              </w:rPr>
              <w:t xml:space="preserve"> </w:t>
            </w:r>
            <w:r w:rsidR="00056FF0" w:rsidRPr="00CB02D9">
              <w:rPr>
                <w:rFonts w:ascii="Century Gothic" w:hAnsi="Century Gothic"/>
              </w:rPr>
              <w:t>terme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D765A" w14:textId="692EE818" w:rsidR="00056FF0" w:rsidRPr="00CB02D9" w:rsidRDefault="00421C67" w:rsidP="001808DC">
            <w:pPr>
              <w:spacing w:line="360" w:lineRule="auto"/>
              <w:ind w:left="80" w:hanging="80"/>
              <w:rPr>
                <w:rFonts w:ascii="Century Gothic" w:hAnsi="Century Gothic"/>
              </w:rPr>
            </w:pPr>
            <w:r w:rsidRPr="00421C67">
              <w:rPr>
                <w:rFonts w:ascii="Century Gothic" w:eastAsia="Calibri" w:hAnsi="Century Gothic" w:cs="Times New Roman"/>
                <w:color w:val="7D7E7F"/>
                <w:sz w:val="18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21C67">
              <w:rPr>
                <w:rFonts w:ascii="Century Gothic" w:eastAsia="Calibri" w:hAnsi="Century Gothic" w:cs="Times New Roman"/>
                <w:color w:val="7D7E7F"/>
                <w:sz w:val="18"/>
                <w:szCs w:val="22"/>
                <w:lang w:eastAsia="en-US"/>
              </w:rPr>
              <w:instrText xml:space="preserve"> FORMCHECKBOX </w:instrText>
            </w:r>
            <w:r w:rsidRPr="00421C67">
              <w:rPr>
                <w:rFonts w:ascii="Century Gothic" w:eastAsia="Calibri" w:hAnsi="Century Gothic" w:cs="Times New Roman"/>
                <w:color w:val="7D7E7F"/>
                <w:sz w:val="18"/>
                <w:szCs w:val="22"/>
                <w:lang w:eastAsia="en-US"/>
              </w:rPr>
            </w:r>
            <w:r w:rsidRPr="00421C67">
              <w:rPr>
                <w:rFonts w:ascii="Century Gothic" w:eastAsia="Calibri" w:hAnsi="Century Gothic" w:cs="Times New Roman"/>
                <w:color w:val="7D7E7F"/>
                <w:sz w:val="18"/>
                <w:szCs w:val="22"/>
                <w:lang w:eastAsia="en-US"/>
              </w:rPr>
              <w:fldChar w:fldCharType="separate"/>
            </w:r>
            <w:r w:rsidRPr="00421C67">
              <w:rPr>
                <w:rFonts w:ascii="Century Gothic" w:eastAsia="Calibri" w:hAnsi="Century Gothic" w:cs="Times New Roman"/>
                <w:color w:val="7D7E7F"/>
                <w:sz w:val="18"/>
                <w:szCs w:val="22"/>
                <w:lang w:eastAsia="en-US"/>
              </w:rPr>
              <w:fldChar w:fldCharType="end"/>
            </w:r>
            <w:r>
              <w:rPr>
                <w:rFonts w:ascii="Century Gothic" w:eastAsia="Calibri" w:hAnsi="Century Gothic" w:cs="Times New Roman"/>
                <w:color w:val="7D7E7F"/>
                <w:sz w:val="18"/>
                <w:szCs w:val="22"/>
                <w:lang w:eastAsia="en-US"/>
              </w:rPr>
              <w:t xml:space="preserve"> </w:t>
            </w:r>
            <w:r w:rsidR="008E65BD" w:rsidRPr="00CB02D9">
              <w:rPr>
                <w:rFonts w:ascii="Century Gothic" w:hAnsi="Century Gothic"/>
              </w:rPr>
              <w:t>Long</w:t>
            </w:r>
            <w:r w:rsidR="00056FF0" w:rsidRPr="00CB02D9">
              <w:rPr>
                <w:rFonts w:ascii="Century Gothic" w:hAnsi="Century Gothic"/>
              </w:rPr>
              <w:t xml:space="preserve"> terme</w:t>
            </w:r>
          </w:p>
        </w:tc>
      </w:tr>
      <w:tr w:rsidR="00C541C0" w:rsidRPr="00CB02D9" w14:paraId="6FA0D6D4" w14:textId="77777777" w:rsidTr="008E65BD">
        <w:trPr>
          <w:trHeight w:val="283"/>
        </w:trPr>
        <w:tc>
          <w:tcPr>
            <w:tcW w:w="4978" w:type="dxa"/>
            <w:gridSpan w:val="2"/>
            <w:tcBorders>
              <w:top w:val="single" w:sz="4" w:space="0" w:color="auto"/>
            </w:tcBorders>
          </w:tcPr>
          <w:p w14:paraId="0ED2B4F1" w14:textId="456A0368" w:rsidR="00C541C0" w:rsidRPr="00CB02D9" w:rsidRDefault="005F2979" w:rsidP="001808DC">
            <w:pPr>
              <w:spacing w:line="360" w:lineRule="auto"/>
              <w:rPr>
                <w:rFonts w:ascii="Century Gothic" w:hAnsi="Century Gothic"/>
                <w:b/>
                <w:bCs/>
              </w:rPr>
            </w:pPr>
            <w:r w:rsidRPr="00CB02D9">
              <w:rPr>
                <w:rFonts w:ascii="Century Gothic" w:hAnsi="Century Gothic"/>
                <w:b/>
                <w:bCs/>
              </w:rPr>
              <w:t>Coût et financ</w:t>
            </w:r>
            <w:r w:rsidR="00C541C0" w:rsidRPr="00CB02D9">
              <w:rPr>
                <w:rFonts w:ascii="Century Gothic" w:hAnsi="Century Gothic"/>
                <w:b/>
                <w:bCs/>
              </w:rPr>
              <w:t>ement</w:t>
            </w:r>
            <w:r w:rsidR="00717BF8" w:rsidRPr="00CB02D9">
              <w:rPr>
                <w:rFonts w:ascii="Century Gothic" w:hAnsi="Century Gothic"/>
                <w:b/>
                <w:bCs/>
              </w:rPr>
              <w:t xml:space="preserve"> </w:t>
            </w:r>
            <w:r w:rsidR="00717BF8" w:rsidRPr="00CB02D9">
              <w:rPr>
                <w:rFonts w:ascii="Century Gothic" w:hAnsi="Century Gothic"/>
              </w:rPr>
              <w:t>(en € H.T.)</w:t>
            </w:r>
          </w:p>
        </w:tc>
        <w:tc>
          <w:tcPr>
            <w:tcW w:w="4325" w:type="dxa"/>
            <w:gridSpan w:val="2"/>
            <w:tcBorders>
              <w:top w:val="single" w:sz="4" w:space="0" w:color="auto"/>
            </w:tcBorders>
          </w:tcPr>
          <w:p w14:paraId="3B5965BD" w14:textId="1DF7135F" w:rsidR="003B786E" w:rsidRPr="00CB02D9" w:rsidRDefault="00C541C0" w:rsidP="00812FF4">
            <w:pPr>
              <w:spacing w:line="360" w:lineRule="auto"/>
              <w:jc w:val="left"/>
              <w:rPr>
                <w:rFonts w:ascii="Century Gothic" w:hAnsi="Century Gothic"/>
              </w:rPr>
            </w:pPr>
            <w:r w:rsidRPr="00410A70">
              <w:rPr>
                <w:rFonts w:ascii="Century Gothic" w:hAnsi="Century Gothic"/>
                <w:sz w:val="18"/>
                <w:szCs w:val="18"/>
              </w:rPr>
              <w:t>Coût</w:t>
            </w:r>
            <w:r w:rsidR="004C71B6" w:rsidRPr="00410A70">
              <w:rPr>
                <w:rFonts w:ascii="Century Gothic" w:hAnsi="Century Gothic"/>
                <w:sz w:val="18"/>
                <w:szCs w:val="18"/>
              </w:rPr>
              <w:t>s</w:t>
            </w:r>
            <w:r w:rsidRPr="00410A70">
              <w:rPr>
                <w:rFonts w:ascii="Century Gothic" w:hAnsi="Century Gothic"/>
                <w:sz w:val="18"/>
                <w:szCs w:val="18"/>
              </w:rPr>
              <w:t> :</w:t>
            </w:r>
            <w:r w:rsidR="00717BF8" w:rsidRPr="00410A70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</w:tc>
      </w:tr>
      <w:tr w:rsidR="00C541C0" w:rsidRPr="00CB02D9" w14:paraId="3CB21209" w14:textId="77777777" w:rsidTr="00896567">
        <w:tc>
          <w:tcPr>
            <w:tcW w:w="9303" w:type="dxa"/>
            <w:gridSpan w:val="4"/>
            <w:tcBorders>
              <w:bottom w:val="single" w:sz="4" w:space="0" w:color="auto"/>
            </w:tcBorders>
          </w:tcPr>
          <w:p w14:paraId="7F49C727" w14:textId="77777777" w:rsidR="003B786E" w:rsidRDefault="00CF3E1C" w:rsidP="009914A2">
            <w:pPr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  <w:r w:rsidRPr="00CF3E1C">
              <w:rPr>
                <w:rFonts w:ascii="Century Gothic" w:hAnsi="Century Gothic"/>
                <w:sz w:val="18"/>
                <w:szCs w:val="18"/>
              </w:rPr>
              <w:t>Financements potentiellement mobilisables</w:t>
            </w:r>
            <w:r w:rsidR="005F2979" w:rsidRPr="00410A70">
              <w:rPr>
                <w:rFonts w:ascii="Century Gothic" w:hAnsi="Century Gothic"/>
                <w:sz w:val="18"/>
                <w:szCs w:val="18"/>
              </w:rPr>
              <w:t> :</w:t>
            </w:r>
          </w:p>
          <w:p w14:paraId="0C232E40" w14:textId="72D64845" w:rsidR="00CF3E1C" w:rsidRPr="00CB02D9" w:rsidRDefault="00CF3E1C" w:rsidP="009914A2">
            <w:pPr>
              <w:spacing w:line="360" w:lineRule="auto"/>
              <w:rPr>
                <w:rFonts w:ascii="Century Gothic" w:hAnsi="Century Gothic"/>
              </w:rPr>
            </w:pPr>
          </w:p>
        </w:tc>
      </w:tr>
      <w:tr w:rsidR="002469CF" w:rsidRPr="00CB02D9" w14:paraId="53AF9F57" w14:textId="77777777" w:rsidTr="00896567">
        <w:tc>
          <w:tcPr>
            <w:tcW w:w="93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A5F80" w14:textId="77777777" w:rsidR="002469CF" w:rsidRPr="00577AFC" w:rsidRDefault="00896567" w:rsidP="009914A2">
            <w:pPr>
              <w:spacing w:line="360" w:lineRule="auto"/>
              <w:rPr>
                <w:rFonts w:ascii="Century Gothic" w:hAnsi="Century Gothic"/>
                <w:b/>
                <w:bCs/>
                <w:szCs w:val="18"/>
              </w:rPr>
            </w:pPr>
            <w:r w:rsidRPr="00577AFC">
              <w:rPr>
                <w:rFonts w:ascii="Century Gothic" w:hAnsi="Century Gothic"/>
                <w:b/>
                <w:bCs/>
                <w:szCs w:val="18"/>
              </w:rPr>
              <w:t>Indicateurs de suivi et d’évaluation</w:t>
            </w:r>
          </w:p>
          <w:p w14:paraId="18DCBF3D" w14:textId="77777777" w:rsidR="00B72768" w:rsidRPr="00577AFC" w:rsidRDefault="00B72768" w:rsidP="00B72768">
            <w:pPr>
              <w:pStyle w:val="Paragraphedeliste"/>
              <w:numPr>
                <w:ilvl w:val="0"/>
                <w:numId w:val="7"/>
              </w:numPr>
              <w:spacing w:line="360" w:lineRule="auto"/>
              <w:ind w:left="776" w:hanging="284"/>
              <w:rPr>
                <w:rFonts w:ascii="Century Gothic" w:hAnsi="Century Gothic"/>
                <w:sz w:val="18"/>
                <w:szCs w:val="18"/>
              </w:rPr>
            </w:pPr>
            <w:r w:rsidRPr="00577AFC">
              <w:rPr>
                <w:rFonts w:ascii="Century Gothic" w:hAnsi="Century Gothic"/>
                <w:sz w:val="18"/>
                <w:szCs w:val="18"/>
              </w:rPr>
              <w:t>Nombre de DIA transmises et traitées.</w:t>
            </w:r>
          </w:p>
          <w:p w14:paraId="001F814A" w14:textId="67A13C48" w:rsidR="00B72768" w:rsidRPr="00577AFC" w:rsidRDefault="00B72768" w:rsidP="00B72768">
            <w:pPr>
              <w:pStyle w:val="Paragraphedeliste"/>
              <w:numPr>
                <w:ilvl w:val="0"/>
                <w:numId w:val="7"/>
              </w:numPr>
              <w:spacing w:line="360" w:lineRule="auto"/>
              <w:ind w:left="776" w:hanging="284"/>
              <w:rPr>
                <w:rFonts w:ascii="Century Gothic" w:hAnsi="Century Gothic"/>
                <w:sz w:val="18"/>
                <w:szCs w:val="18"/>
              </w:rPr>
            </w:pPr>
            <w:r w:rsidRPr="00577AFC">
              <w:rPr>
                <w:rFonts w:ascii="Century Gothic" w:hAnsi="Century Gothic"/>
                <w:sz w:val="18"/>
                <w:szCs w:val="18"/>
              </w:rPr>
              <w:t>Montant des financements mobilisés.</w:t>
            </w:r>
          </w:p>
        </w:tc>
      </w:tr>
    </w:tbl>
    <w:p w14:paraId="166AB35F" w14:textId="7FB62FE9" w:rsidR="00C541C0" w:rsidRPr="00CB02D9" w:rsidRDefault="00C541C0" w:rsidP="009D74A6">
      <w:pPr>
        <w:tabs>
          <w:tab w:val="left" w:pos="7455"/>
        </w:tabs>
        <w:rPr>
          <w:rFonts w:ascii="Century Gothic" w:hAnsi="Century Gothic"/>
        </w:rPr>
      </w:pPr>
    </w:p>
    <w:sectPr w:rsidR="00C541C0" w:rsidRPr="00CB02D9" w:rsidSect="00923E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8" w:bottom="56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BF7B2" w14:textId="77777777" w:rsidR="0013453F" w:rsidRDefault="0013453F">
      <w:r>
        <w:separator/>
      </w:r>
    </w:p>
  </w:endnote>
  <w:endnote w:type="continuationSeparator" w:id="0">
    <w:p w14:paraId="7EBCDD96" w14:textId="77777777" w:rsidR="0013453F" w:rsidRDefault="00134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 Lt BT">
    <w:altName w:val="Century Gothic"/>
    <w:charset w:val="00"/>
    <w:family w:val="swiss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Marianne">
    <w:altName w:val="Calibri"/>
    <w:panose1 w:val="00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BBB0F" w14:textId="77777777" w:rsidR="006A668A" w:rsidRDefault="006A668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48733" w14:textId="002D4875" w:rsidR="00CA6894" w:rsidRPr="00CB02D9" w:rsidRDefault="00CB02D9" w:rsidP="00CB02D9">
    <w:pPr>
      <w:pStyle w:val="Pieddepage"/>
      <w:pBdr>
        <w:top w:val="single" w:sz="4" w:space="1" w:color="auto"/>
      </w:pBdr>
      <w:rPr>
        <w:rFonts w:ascii="Century Gothic" w:hAnsi="Century Gothic"/>
        <w:i/>
        <w:iCs/>
      </w:rPr>
    </w:pPr>
    <w:r w:rsidRPr="00CB02D9">
      <w:rPr>
        <w:rFonts w:ascii="Century Gothic" w:hAnsi="Century Gothic"/>
        <w:i/>
        <w:iCs/>
      </w:rPr>
      <w:fldChar w:fldCharType="begin"/>
    </w:r>
    <w:r w:rsidRPr="00CB02D9">
      <w:rPr>
        <w:rFonts w:ascii="Century Gothic" w:hAnsi="Century Gothic"/>
        <w:i/>
        <w:iCs/>
      </w:rPr>
      <w:instrText xml:space="preserve"> FILENAME   \* MERGEFORMAT </w:instrText>
    </w:r>
    <w:r w:rsidRPr="00CB02D9">
      <w:rPr>
        <w:rFonts w:ascii="Century Gothic" w:hAnsi="Century Gothic"/>
        <w:i/>
        <w:iCs/>
      </w:rPr>
      <w:fldChar w:fldCharType="separate"/>
    </w:r>
    <w:r w:rsidR="006A668A">
      <w:rPr>
        <w:rFonts w:ascii="Century Gothic" w:hAnsi="Century Gothic"/>
        <w:i/>
        <w:iCs/>
        <w:noProof/>
      </w:rPr>
      <w:t>Fiche action 10c - Intervention foncière  CDL_260301.docx</w:t>
    </w:r>
    <w:r w:rsidRPr="00CB02D9">
      <w:rPr>
        <w:rFonts w:ascii="Century Gothic" w:hAnsi="Century Gothic"/>
        <w:i/>
        <w:i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EBABE" w14:textId="77777777" w:rsidR="006A668A" w:rsidRDefault="006A668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D7243" w14:textId="77777777" w:rsidR="0013453F" w:rsidRDefault="0013453F">
      <w:r>
        <w:separator/>
      </w:r>
    </w:p>
  </w:footnote>
  <w:footnote w:type="continuationSeparator" w:id="0">
    <w:p w14:paraId="795CB33C" w14:textId="77777777" w:rsidR="0013453F" w:rsidRDefault="00134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0EF38" w14:textId="77777777" w:rsidR="006A668A" w:rsidRDefault="006A668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2E206" w14:textId="440BDA44" w:rsidR="000852E0" w:rsidRPr="00CB02D9" w:rsidRDefault="000852E0" w:rsidP="00056FF0">
    <w:pPr>
      <w:pStyle w:val="Pieddepage"/>
      <w:pBdr>
        <w:top w:val="single" w:sz="4" w:space="1" w:color="auto"/>
      </w:pBdr>
      <w:tabs>
        <w:tab w:val="clear" w:pos="9072"/>
        <w:tab w:val="right" w:pos="9180"/>
      </w:tabs>
      <w:jc w:val="left"/>
      <w:rPr>
        <w:rFonts w:ascii="Century Gothic" w:hAnsi="Century Gothic"/>
        <w:color w:val="7D7E7F"/>
      </w:rPr>
    </w:pPr>
    <w:r w:rsidRPr="00CB02D9">
      <w:rPr>
        <w:rFonts w:ascii="Century Gothic" w:hAnsi="Century Gothic"/>
        <w:b/>
        <w:i/>
        <w:color w:val="7D7E7F"/>
      </w:rPr>
      <w:t>Plan d</w:t>
    </w:r>
    <w:r w:rsidR="00CA6894" w:rsidRPr="00CB02D9">
      <w:rPr>
        <w:rFonts w:ascii="Century Gothic" w:hAnsi="Century Gothic"/>
        <w:b/>
        <w:i/>
        <w:color w:val="7D7E7F"/>
      </w:rPr>
      <w:t xml:space="preserve">’actions </w:t>
    </w:r>
    <w:r w:rsidRPr="00CB02D9">
      <w:rPr>
        <w:rFonts w:ascii="Century Gothic" w:hAnsi="Century Gothic"/>
        <w:b/>
        <w:i/>
        <w:color w:val="7D7E7F"/>
      </w:rPr>
      <w:t xml:space="preserve">du PAEN </w:t>
    </w:r>
    <w:r w:rsidR="00CA6894" w:rsidRPr="00CB02D9">
      <w:rPr>
        <w:rFonts w:ascii="Century Gothic" w:hAnsi="Century Gothic"/>
        <w:b/>
        <w:i/>
        <w:color w:val="7D7E7F"/>
      </w:rPr>
      <w:t xml:space="preserve">de </w:t>
    </w:r>
    <w:r w:rsidR="009914A2">
      <w:rPr>
        <w:rFonts w:ascii="Century Gothic" w:hAnsi="Century Gothic"/>
        <w:b/>
        <w:i/>
        <w:color w:val="7D7E7F"/>
      </w:rPr>
      <w:t>La Possession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262B8" w14:textId="77777777" w:rsidR="006A668A" w:rsidRDefault="006A668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908C6"/>
    <w:multiLevelType w:val="hybridMultilevel"/>
    <w:tmpl w:val="450A2246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1B53687"/>
    <w:multiLevelType w:val="hybridMultilevel"/>
    <w:tmpl w:val="0DCCA878"/>
    <w:lvl w:ilvl="0" w:tplc="4308139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E9571C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5D659B3"/>
    <w:multiLevelType w:val="hybridMultilevel"/>
    <w:tmpl w:val="0EF669EA"/>
    <w:lvl w:ilvl="0" w:tplc="24E607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Futura Lt BT" w:eastAsia="Times New Roman" w:hAnsi="Futura Lt BT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8D0B80"/>
    <w:multiLevelType w:val="hybridMultilevel"/>
    <w:tmpl w:val="B3624E42"/>
    <w:lvl w:ilvl="0" w:tplc="AE50D7D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E9571C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5425D6"/>
    <w:multiLevelType w:val="hybridMultilevel"/>
    <w:tmpl w:val="9D94DC2C"/>
    <w:lvl w:ilvl="0" w:tplc="73087ECE">
      <w:start w:val="1"/>
      <w:numFmt w:val="upperRoman"/>
      <w:lvlText w:val="%1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1" w:tplc="31EC8884">
      <w:start w:val="1"/>
      <w:numFmt w:val="upperLetter"/>
      <w:lvlText w:val="%2."/>
      <w:lvlJc w:val="left"/>
      <w:pPr>
        <w:tabs>
          <w:tab w:val="num" w:pos="1647"/>
        </w:tabs>
        <w:ind w:left="1647" w:hanging="360"/>
      </w:pPr>
      <w:rPr>
        <w:rFonts w:hint="default"/>
        <w:u w:val="none"/>
      </w:rPr>
    </w:lvl>
    <w:lvl w:ilvl="2" w:tplc="CEA4E702">
      <w:start w:val="1"/>
      <w:numFmt w:val="bullet"/>
      <w:lvlText w:val=""/>
      <w:lvlJc w:val="left"/>
      <w:pPr>
        <w:tabs>
          <w:tab w:val="num" w:pos="2547"/>
        </w:tabs>
        <w:ind w:left="2187" w:firstLine="0"/>
      </w:pPr>
      <w:rPr>
        <w:rFonts w:ascii="Symbol" w:hAnsi="Symbol" w:hint="default"/>
      </w:rPr>
    </w:lvl>
    <w:lvl w:ilvl="3" w:tplc="F2D8CDD6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2CE4953E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E15AFC2E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78E2782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C8663B4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85B26AD8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7CE81244"/>
    <w:multiLevelType w:val="hybridMultilevel"/>
    <w:tmpl w:val="D43EE59E"/>
    <w:lvl w:ilvl="0" w:tplc="AABEDFFE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4540235">
    <w:abstractNumId w:val="4"/>
  </w:num>
  <w:num w:numId="2" w16cid:durableId="406613912">
    <w:abstractNumId w:val="4"/>
  </w:num>
  <w:num w:numId="3" w16cid:durableId="1429422864">
    <w:abstractNumId w:val="2"/>
  </w:num>
  <w:num w:numId="4" w16cid:durableId="1769496291">
    <w:abstractNumId w:val="3"/>
  </w:num>
  <w:num w:numId="5" w16cid:durableId="348335318">
    <w:abstractNumId w:val="5"/>
  </w:num>
  <w:num w:numId="6" w16cid:durableId="948320947">
    <w:abstractNumId w:val="1"/>
  </w:num>
  <w:num w:numId="7" w16cid:durableId="176890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4CA"/>
    <w:rsid w:val="00005959"/>
    <w:rsid w:val="00005D43"/>
    <w:rsid w:val="000104C4"/>
    <w:rsid w:val="00024505"/>
    <w:rsid w:val="00056FF0"/>
    <w:rsid w:val="00061CA6"/>
    <w:rsid w:val="00070BA4"/>
    <w:rsid w:val="00072606"/>
    <w:rsid w:val="00073C87"/>
    <w:rsid w:val="000852E0"/>
    <w:rsid w:val="00085C2C"/>
    <w:rsid w:val="00093BE1"/>
    <w:rsid w:val="00097BD4"/>
    <w:rsid w:val="000A5C26"/>
    <w:rsid w:val="000A72FD"/>
    <w:rsid w:val="000C465B"/>
    <w:rsid w:val="000E370C"/>
    <w:rsid w:val="000F7AC5"/>
    <w:rsid w:val="00125114"/>
    <w:rsid w:val="00133C28"/>
    <w:rsid w:val="0013453F"/>
    <w:rsid w:val="00136391"/>
    <w:rsid w:val="00141B93"/>
    <w:rsid w:val="001660C3"/>
    <w:rsid w:val="00173737"/>
    <w:rsid w:val="001808DC"/>
    <w:rsid w:val="001874A0"/>
    <w:rsid w:val="001A2C61"/>
    <w:rsid w:val="001A79D2"/>
    <w:rsid w:val="001B62F1"/>
    <w:rsid w:val="001C2028"/>
    <w:rsid w:val="001E39B1"/>
    <w:rsid w:val="001E3A9A"/>
    <w:rsid w:val="001E4D14"/>
    <w:rsid w:val="002121E8"/>
    <w:rsid w:val="00215496"/>
    <w:rsid w:val="002237D2"/>
    <w:rsid w:val="002316F3"/>
    <w:rsid w:val="002344EC"/>
    <w:rsid w:val="00235BB3"/>
    <w:rsid w:val="00236867"/>
    <w:rsid w:val="00242EF2"/>
    <w:rsid w:val="002469CF"/>
    <w:rsid w:val="00265C7E"/>
    <w:rsid w:val="0027171B"/>
    <w:rsid w:val="002763C9"/>
    <w:rsid w:val="00276700"/>
    <w:rsid w:val="00281A1D"/>
    <w:rsid w:val="00287DA5"/>
    <w:rsid w:val="002916DC"/>
    <w:rsid w:val="002A08AC"/>
    <w:rsid w:val="002A529A"/>
    <w:rsid w:val="002A7B5C"/>
    <w:rsid w:val="002B1CE6"/>
    <w:rsid w:val="002D0704"/>
    <w:rsid w:val="002E273F"/>
    <w:rsid w:val="002E5D15"/>
    <w:rsid w:val="002F0779"/>
    <w:rsid w:val="0030327C"/>
    <w:rsid w:val="0030471C"/>
    <w:rsid w:val="00312AF6"/>
    <w:rsid w:val="003165A1"/>
    <w:rsid w:val="00321635"/>
    <w:rsid w:val="003238BD"/>
    <w:rsid w:val="0033736E"/>
    <w:rsid w:val="0034268B"/>
    <w:rsid w:val="0035577D"/>
    <w:rsid w:val="00365572"/>
    <w:rsid w:val="003957BC"/>
    <w:rsid w:val="003B786E"/>
    <w:rsid w:val="003C0D4D"/>
    <w:rsid w:val="003E26FA"/>
    <w:rsid w:val="00410A70"/>
    <w:rsid w:val="004152EA"/>
    <w:rsid w:val="00421C67"/>
    <w:rsid w:val="00431F94"/>
    <w:rsid w:val="00433B86"/>
    <w:rsid w:val="00452DF8"/>
    <w:rsid w:val="0046092F"/>
    <w:rsid w:val="00462B2E"/>
    <w:rsid w:val="00486807"/>
    <w:rsid w:val="004A58E0"/>
    <w:rsid w:val="004B2084"/>
    <w:rsid w:val="004B328F"/>
    <w:rsid w:val="004B43E6"/>
    <w:rsid w:val="004B7EE7"/>
    <w:rsid w:val="004C71B6"/>
    <w:rsid w:val="005051F4"/>
    <w:rsid w:val="005166F1"/>
    <w:rsid w:val="005211E9"/>
    <w:rsid w:val="00522351"/>
    <w:rsid w:val="00527120"/>
    <w:rsid w:val="00536863"/>
    <w:rsid w:val="005416A7"/>
    <w:rsid w:val="00543CAF"/>
    <w:rsid w:val="00550297"/>
    <w:rsid w:val="00562A61"/>
    <w:rsid w:val="00562AE0"/>
    <w:rsid w:val="00564C12"/>
    <w:rsid w:val="00577AFC"/>
    <w:rsid w:val="0058237B"/>
    <w:rsid w:val="005A3F5E"/>
    <w:rsid w:val="005B6E2D"/>
    <w:rsid w:val="005C3836"/>
    <w:rsid w:val="005E2D68"/>
    <w:rsid w:val="005F0E2B"/>
    <w:rsid w:val="005F1D0C"/>
    <w:rsid w:val="005F2979"/>
    <w:rsid w:val="006008F9"/>
    <w:rsid w:val="00614152"/>
    <w:rsid w:val="00621553"/>
    <w:rsid w:val="00623481"/>
    <w:rsid w:val="00650777"/>
    <w:rsid w:val="006627E3"/>
    <w:rsid w:val="00670687"/>
    <w:rsid w:val="006824CE"/>
    <w:rsid w:val="00684B1D"/>
    <w:rsid w:val="00686597"/>
    <w:rsid w:val="00690A21"/>
    <w:rsid w:val="0069786D"/>
    <w:rsid w:val="006A25C3"/>
    <w:rsid w:val="006A3785"/>
    <w:rsid w:val="006A5DAD"/>
    <w:rsid w:val="006A668A"/>
    <w:rsid w:val="006C10E3"/>
    <w:rsid w:val="006C2EA1"/>
    <w:rsid w:val="006E4740"/>
    <w:rsid w:val="006F6D3F"/>
    <w:rsid w:val="0070617D"/>
    <w:rsid w:val="00717BF8"/>
    <w:rsid w:val="00724C0D"/>
    <w:rsid w:val="0074166D"/>
    <w:rsid w:val="007429FA"/>
    <w:rsid w:val="00783287"/>
    <w:rsid w:val="007A2CBF"/>
    <w:rsid w:val="007A6A4F"/>
    <w:rsid w:val="007B3D05"/>
    <w:rsid w:val="007C007F"/>
    <w:rsid w:val="007C1458"/>
    <w:rsid w:val="007C346A"/>
    <w:rsid w:val="007C5195"/>
    <w:rsid w:val="007D01BB"/>
    <w:rsid w:val="007D1313"/>
    <w:rsid w:val="007D5438"/>
    <w:rsid w:val="007E268C"/>
    <w:rsid w:val="007F2AF4"/>
    <w:rsid w:val="007F4168"/>
    <w:rsid w:val="007F533A"/>
    <w:rsid w:val="007F6A6E"/>
    <w:rsid w:val="00812FF4"/>
    <w:rsid w:val="008178E0"/>
    <w:rsid w:val="0082105C"/>
    <w:rsid w:val="00823D85"/>
    <w:rsid w:val="00832057"/>
    <w:rsid w:val="008362C3"/>
    <w:rsid w:val="00841AC3"/>
    <w:rsid w:val="008427ED"/>
    <w:rsid w:val="00853632"/>
    <w:rsid w:val="0085642D"/>
    <w:rsid w:val="00873058"/>
    <w:rsid w:val="00883B6A"/>
    <w:rsid w:val="00885800"/>
    <w:rsid w:val="00896567"/>
    <w:rsid w:val="0089728F"/>
    <w:rsid w:val="00897735"/>
    <w:rsid w:val="008B0392"/>
    <w:rsid w:val="008C102B"/>
    <w:rsid w:val="008C4C23"/>
    <w:rsid w:val="008E386C"/>
    <w:rsid w:val="008E521E"/>
    <w:rsid w:val="008E65BD"/>
    <w:rsid w:val="0090081E"/>
    <w:rsid w:val="00904E9E"/>
    <w:rsid w:val="009122C6"/>
    <w:rsid w:val="009217A4"/>
    <w:rsid w:val="00923E7F"/>
    <w:rsid w:val="00934026"/>
    <w:rsid w:val="00953D24"/>
    <w:rsid w:val="00954CA1"/>
    <w:rsid w:val="0097012D"/>
    <w:rsid w:val="009830E4"/>
    <w:rsid w:val="009914A2"/>
    <w:rsid w:val="00993C03"/>
    <w:rsid w:val="009A7657"/>
    <w:rsid w:val="009B361B"/>
    <w:rsid w:val="009B4397"/>
    <w:rsid w:val="009C670F"/>
    <w:rsid w:val="009D5A75"/>
    <w:rsid w:val="009D74A6"/>
    <w:rsid w:val="00A0346E"/>
    <w:rsid w:val="00A058BB"/>
    <w:rsid w:val="00A16F1E"/>
    <w:rsid w:val="00A20C64"/>
    <w:rsid w:val="00A60815"/>
    <w:rsid w:val="00A759C7"/>
    <w:rsid w:val="00A7646E"/>
    <w:rsid w:val="00A84376"/>
    <w:rsid w:val="00AA31E7"/>
    <w:rsid w:val="00AB1138"/>
    <w:rsid w:val="00AB3399"/>
    <w:rsid w:val="00AB4101"/>
    <w:rsid w:val="00AB4154"/>
    <w:rsid w:val="00AD2619"/>
    <w:rsid w:val="00AD6EDD"/>
    <w:rsid w:val="00AE0361"/>
    <w:rsid w:val="00AE422A"/>
    <w:rsid w:val="00AE64A4"/>
    <w:rsid w:val="00B01129"/>
    <w:rsid w:val="00B01EB3"/>
    <w:rsid w:val="00B102F8"/>
    <w:rsid w:val="00B11014"/>
    <w:rsid w:val="00B23F86"/>
    <w:rsid w:val="00B25089"/>
    <w:rsid w:val="00B27E88"/>
    <w:rsid w:val="00B323A1"/>
    <w:rsid w:val="00B333E0"/>
    <w:rsid w:val="00B60724"/>
    <w:rsid w:val="00B70D58"/>
    <w:rsid w:val="00B72768"/>
    <w:rsid w:val="00B7592A"/>
    <w:rsid w:val="00B76BEB"/>
    <w:rsid w:val="00B77E66"/>
    <w:rsid w:val="00B810FB"/>
    <w:rsid w:val="00B81367"/>
    <w:rsid w:val="00BA1CD7"/>
    <w:rsid w:val="00BB6ECA"/>
    <w:rsid w:val="00BD4C49"/>
    <w:rsid w:val="00C34F14"/>
    <w:rsid w:val="00C4053A"/>
    <w:rsid w:val="00C463B9"/>
    <w:rsid w:val="00C46F74"/>
    <w:rsid w:val="00C47975"/>
    <w:rsid w:val="00C541C0"/>
    <w:rsid w:val="00C878E5"/>
    <w:rsid w:val="00C927E0"/>
    <w:rsid w:val="00C94497"/>
    <w:rsid w:val="00CA0F9B"/>
    <w:rsid w:val="00CA6894"/>
    <w:rsid w:val="00CB02D9"/>
    <w:rsid w:val="00CD2BAF"/>
    <w:rsid w:val="00CD4730"/>
    <w:rsid w:val="00CE345B"/>
    <w:rsid w:val="00CE59CA"/>
    <w:rsid w:val="00CF1BC0"/>
    <w:rsid w:val="00CF1C90"/>
    <w:rsid w:val="00CF3E1C"/>
    <w:rsid w:val="00CF50B8"/>
    <w:rsid w:val="00CF5BEC"/>
    <w:rsid w:val="00D13483"/>
    <w:rsid w:val="00D171B8"/>
    <w:rsid w:val="00D400BE"/>
    <w:rsid w:val="00D570A7"/>
    <w:rsid w:val="00D646E3"/>
    <w:rsid w:val="00D64C16"/>
    <w:rsid w:val="00D655E3"/>
    <w:rsid w:val="00D67D14"/>
    <w:rsid w:val="00D72AFD"/>
    <w:rsid w:val="00D75A3B"/>
    <w:rsid w:val="00D918C2"/>
    <w:rsid w:val="00D93C43"/>
    <w:rsid w:val="00DB21ED"/>
    <w:rsid w:val="00DB4394"/>
    <w:rsid w:val="00DC143C"/>
    <w:rsid w:val="00DC1CF6"/>
    <w:rsid w:val="00DD0335"/>
    <w:rsid w:val="00E036FF"/>
    <w:rsid w:val="00E04A3F"/>
    <w:rsid w:val="00E214CA"/>
    <w:rsid w:val="00E33051"/>
    <w:rsid w:val="00E367D3"/>
    <w:rsid w:val="00E4032D"/>
    <w:rsid w:val="00E4217F"/>
    <w:rsid w:val="00E64A6C"/>
    <w:rsid w:val="00E65103"/>
    <w:rsid w:val="00E70644"/>
    <w:rsid w:val="00E771C7"/>
    <w:rsid w:val="00E9239B"/>
    <w:rsid w:val="00E9334F"/>
    <w:rsid w:val="00E95A04"/>
    <w:rsid w:val="00EA1B9E"/>
    <w:rsid w:val="00EB747D"/>
    <w:rsid w:val="00EC7E37"/>
    <w:rsid w:val="00F006E6"/>
    <w:rsid w:val="00F35B06"/>
    <w:rsid w:val="00F419DF"/>
    <w:rsid w:val="00F66897"/>
    <w:rsid w:val="00F7053E"/>
    <w:rsid w:val="00F84D5E"/>
    <w:rsid w:val="00FA6F88"/>
    <w:rsid w:val="00FB4045"/>
    <w:rsid w:val="00FB62F8"/>
    <w:rsid w:val="00FB7EDE"/>
    <w:rsid w:val="00FC04B4"/>
    <w:rsid w:val="00FD1E6B"/>
    <w:rsid w:val="00FD48C8"/>
    <w:rsid w:val="00FD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5B480C"/>
  <w15:chartTrackingRefBased/>
  <w15:docId w15:val="{CA5603DA-D82E-46BF-A88F-12758DAFF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rFonts w:ascii="Arial" w:hAnsi="Arial" w:cs="Arial"/>
    </w:rPr>
  </w:style>
  <w:style w:type="paragraph" w:styleId="Titre1">
    <w:name w:val="heading 1"/>
    <w:basedOn w:val="Normal"/>
    <w:qFormat/>
    <w:pPr>
      <w:keepNext/>
      <w:overflowPunct w:val="0"/>
      <w:autoSpaceDE w:val="0"/>
      <w:autoSpaceDN w:val="0"/>
      <w:adjustRightInd w:val="0"/>
      <w:jc w:val="left"/>
      <w:textAlignment w:val="baseline"/>
      <w:outlineLvl w:val="0"/>
    </w:pPr>
    <w:rPr>
      <w:rFonts w:ascii="Comic Sans MS" w:hAnsi="Comic Sans MS"/>
      <w:sz w:val="28"/>
      <w:szCs w:val="28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6E4740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6E4740"/>
    <w:pPr>
      <w:tabs>
        <w:tab w:val="center" w:pos="4536"/>
        <w:tab w:val="right" w:pos="9072"/>
      </w:tabs>
    </w:pPr>
  </w:style>
  <w:style w:type="paragraph" w:customStyle="1" w:styleId="Style1">
    <w:name w:val="Style1"/>
    <w:basedOn w:val="Retraitcorpsdetexte"/>
    <w:autoRedefine/>
    <w:pPr>
      <w:overflowPunct w:val="0"/>
      <w:autoSpaceDE w:val="0"/>
      <w:autoSpaceDN w:val="0"/>
      <w:adjustRightInd w:val="0"/>
      <w:spacing w:after="0"/>
      <w:ind w:left="0"/>
      <w:jc w:val="left"/>
      <w:textAlignment w:val="baseline"/>
    </w:pPr>
    <w:rPr>
      <w:rFonts w:ascii="Comic Sans MS" w:hAnsi="Comic Sans MS"/>
      <w:b/>
      <w:bCs/>
      <w:sz w:val="32"/>
      <w:szCs w:val="32"/>
      <w:u w:val="single"/>
    </w:rPr>
  </w:style>
  <w:style w:type="paragraph" w:styleId="Retraitcorpsdetexte">
    <w:name w:val="Body Text Indent"/>
    <w:basedOn w:val="Normal"/>
    <w:pPr>
      <w:spacing w:after="120"/>
      <w:ind w:left="283"/>
    </w:pPr>
  </w:style>
  <w:style w:type="character" w:styleId="Lienhypertexte">
    <w:name w:val="Hyperlink"/>
    <w:uiPriority w:val="99"/>
    <w:unhideWhenUsed/>
    <w:rsid w:val="009C670F"/>
    <w:rPr>
      <w:color w:val="0563C1"/>
      <w:u w:val="single"/>
    </w:rPr>
  </w:style>
  <w:style w:type="character" w:styleId="Mentionnonrsolue">
    <w:name w:val="Unresolved Mention"/>
    <w:uiPriority w:val="99"/>
    <w:semiHidden/>
    <w:unhideWhenUsed/>
    <w:rsid w:val="009C670F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6824C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824CE"/>
  </w:style>
  <w:style w:type="character" w:customStyle="1" w:styleId="CommentaireCar">
    <w:name w:val="Commentaire Car"/>
    <w:basedOn w:val="Policepardfaut"/>
    <w:link w:val="Commentaire"/>
    <w:uiPriority w:val="99"/>
    <w:rsid w:val="006824CE"/>
    <w:rPr>
      <w:rFonts w:ascii="Arial" w:hAnsi="Arial" w:cs="Arial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824C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824CE"/>
    <w:rPr>
      <w:rFonts w:ascii="Arial" w:hAnsi="Arial" w:cs="Arial"/>
      <w:b/>
      <w:bCs/>
    </w:rPr>
  </w:style>
  <w:style w:type="paragraph" w:customStyle="1" w:styleId="Textedesaisie">
    <w:name w:val="Texte de saisie"/>
    <w:basedOn w:val="Normal"/>
    <w:qFormat/>
    <w:rsid w:val="00841AC3"/>
    <w:pPr>
      <w:spacing w:line="260" w:lineRule="atLeast"/>
      <w:ind w:left="567" w:right="567"/>
    </w:pPr>
    <w:rPr>
      <w:rFonts w:eastAsia="Marianne" w:cs="Times New Roman"/>
      <w:lang w:eastAsia="en-US"/>
    </w:rPr>
  </w:style>
  <w:style w:type="paragraph" w:customStyle="1" w:styleId="Texteinteret">
    <w:name w:val="Texte_interet"/>
    <w:basedOn w:val="Notedebasdepage"/>
    <w:rsid w:val="00841AC3"/>
    <w:pPr>
      <w:overflowPunct w:val="0"/>
      <w:autoSpaceDE w:val="0"/>
      <w:autoSpaceDN w:val="0"/>
      <w:adjustRightInd w:val="0"/>
      <w:textAlignment w:val="baseline"/>
    </w:pPr>
    <w:rPr>
      <w:rFonts w:cs="Times New Roman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41AC3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41AC3"/>
    <w:rPr>
      <w:rFonts w:ascii="Arial" w:hAnsi="Arial" w:cs="Arial"/>
    </w:rPr>
  </w:style>
  <w:style w:type="paragraph" w:styleId="Paragraphedeliste">
    <w:name w:val="List Paragraph"/>
    <w:basedOn w:val="Normal"/>
    <w:uiPriority w:val="34"/>
    <w:qFormat/>
    <w:rsid w:val="00E403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568</TotalTime>
  <Pages>2</Pages>
  <Words>648</Words>
  <Characters>3817</Characters>
  <Application>Microsoft Office Word</Application>
  <DocSecurity>0</DocSecurity>
  <Lines>84</Lines>
  <Paragraphs>62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action</vt:lpstr>
    </vt:vector>
  </TitlesOfParts>
  <Company>CPIE des Pays Narbonnais</Company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action</dc:title>
  <dc:subject>aménagement Pissevaches</dc:subject>
  <dc:creator>Alain DINDELEUX</dc:creator>
  <cp:keywords/>
  <dc:description/>
  <cp:lastModifiedBy>Jean-Marie PETIAU</cp:lastModifiedBy>
  <cp:revision>152</cp:revision>
  <cp:lastPrinted>2025-11-01T15:38:00Z</cp:lastPrinted>
  <dcterms:created xsi:type="dcterms:W3CDTF">2025-11-01T15:12:00Z</dcterms:created>
  <dcterms:modified xsi:type="dcterms:W3CDTF">2026-03-09T10:20:00Z</dcterms:modified>
</cp:coreProperties>
</file>