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92B8" w14:textId="3A378021" w:rsidR="00C541C0" w:rsidRPr="00783287" w:rsidRDefault="00CB02D9" w:rsidP="00CB02D9">
      <w:pPr>
        <w:tabs>
          <w:tab w:val="left" w:leader="dot" w:pos="9072"/>
        </w:tabs>
        <w:spacing w:line="360" w:lineRule="auto"/>
      </w:pPr>
      <w:r w:rsidRPr="00783287">
        <w:rPr>
          <w:b/>
          <w:bCs/>
        </w:rPr>
        <w:t>Type d’action</w:t>
      </w:r>
      <w:r w:rsidR="001B62F1" w:rsidRPr="00783287">
        <w:rPr>
          <w:b/>
          <w:bCs/>
        </w:rPr>
        <w:t xml:space="preserve"> : </w:t>
      </w:r>
      <w:r w:rsidR="00242EF2">
        <w:rPr>
          <w:b/>
          <w:bCs/>
        </w:rPr>
        <w:t>AMENAGEMENT</w:t>
      </w:r>
    </w:p>
    <w:p w14:paraId="6A267448" w14:textId="69DF6954" w:rsidR="00C541C0" w:rsidRPr="00783287" w:rsidRDefault="00CB02D9" w:rsidP="00242EF2">
      <w:pPr>
        <w:tabs>
          <w:tab w:val="left" w:leader="dot" w:pos="9072"/>
        </w:tabs>
        <w:spacing w:line="360" w:lineRule="auto"/>
        <w:ind w:right="72"/>
      </w:pPr>
      <w:r w:rsidRPr="00783287">
        <w:rPr>
          <w:b/>
          <w:bCs/>
        </w:rPr>
        <w:t>Axe</w:t>
      </w:r>
      <w:r w:rsidR="00C541C0" w:rsidRPr="00783287">
        <w:rPr>
          <w:b/>
          <w:bCs/>
        </w:rPr>
        <w:t xml:space="preserve"> : </w:t>
      </w:r>
      <w:r w:rsidR="00242EF2" w:rsidRPr="00242EF2">
        <w:rPr>
          <w:rFonts w:ascii="Mistral" w:hAnsi="Mistral"/>
          <w:b/>
          <w:bCs/>
          <w:noProof/>
          <w:color w:val="833C0B"/>
          <w:sz w:val="36"/>
          <w:szCs w:val="36"/>
        </w:rPr>
        <w:t>« Redéploiement équilibré des terroirs nourriciers</w:t>
      </w:r>
      <w:r w:rsidR="00242EF2">
        <w:rPr>
          <w:rFonts w:ascii="Mistral" w:hAnsi="Mistral"/>
          <w:b/>
          <w:bCs/>
          <w:noProof/>
          <w:color w:val="833C0B"/>
          <w:sz w:val="36"/>
          <w:szCs w:val="36"/>
        </w:rPr>
        <w:t> »</w:t>
      </w:r>
    </w:p>
    <w:p w14:paraId="6047ED62" w14:textId="10DD34FF" w:rsidR="000852E0" w:rsidRPr="00407648" w:rsidRDefault="000852E0" w:rsidP="00242EF2">
      <w:pPr>
        <w:tabs>
          <w:tab w:val="left" w:leader="dot" w:pos="9072"/>
        </w:tabs>
        <w:spacing w:line="360" w:lineRule="auto"/>
        <w:ind w:right="72"/>
        <w:rPr>
          <w:b/>
          <w:bCs/>
          <w:sz w:val="20"/>
          <w:szCs w:val="22"/>
        </w:rPr>
      </w:pPr>
      <w:r w:rsidRPr="00407648">
        <w:rPr>
          <w:b/>
          <w:bCs/>
          <w:sz w:val="20"/>
          <w:szCs w:val="22"/>
        </w:rPr>
        <w:t xml:space="preserve">Orientation </w:t>
      </w:r>
      <w:r w:rsidR="00CB02D9" w:rsidRPr="00407648">
        <w:rPr>
          <w:b/>
          <w:bCs/>
          <w:sz w:val="20"/>
          <w:szCs w:val="22"/>
        </w:rPr>
        <w:t>stratégique</w:t>
      </w:r>
      <w:r w:rsidRPr="00407648">
        <w:rPr>
          <w:b/>
          <w:bCs/>
          <w:sz w:val="20"/>
          <w:szCs w:val="22"/>
        </w:rPr>
        <w:t xml:space="preserve"> : </w:t>
      </w:r>
      <w:r w:rsidR="003D5ACE" w:rsidRPr="00407648">
        <w:rPr>
          <w:b/>
          <w:bCs/>
          <w:sz w:val="20"/>
          <w:szCs w:val="22"/>
        </w:rPr>
        <w:t>Appui à l’irrigation </w:t>
      </w:r>
    </w:p>
    <w:p w14:paraId="12593E88" w14:textId="4089BC09" w:rsidR="008427ED" w:rsidRPr="00CB02D9" w:rsidRDefault="008E386C" w:rsidP="00F419DF">
      <w:pPr>
        <w:tabs>
          <w:tab w:val="left" w:leader="dot" w:pos="9072"/>
        </w:tabs>
        <w:ind w:right="-2"/>
        <w:rPr>
          <w:i/>
          <w:iCs/>
          <w:sz w:val="24"/>
          <w:szCs w:val="24"/>
        </w:rPr>
      </w:pPr>
      <w:r w:rsidRPr="00CB02D9">
        <w:rPr>
          <w:b/>
          <w:bCs/>
          <w:sz w:val="24"/>
          <w:szCs w:val="24"/>
        </w:rPr>
        <w:t>F</w:t>
      </w:r>
      <w:r w:rsidR="000852E0" w:rsidRPr="00CB02D9">
        <w:rPr>
          <w:b/>
          <w:bCs/>
          <w:sz w:val="24"/>
          <w:szCs w:val="24"/>
        </w:rPr>
        <w:t xml:space="preserve">iche </w:t>
      </w:r>
      <w:r w:rsidR="00D72AFD" w:rsidRPr="00CB02D9">
        <w:rPr>
          <w:b/>
          <w:bCs/>
          <w:sz w:val="24"/>
          <w:szCs w:val="24"/>
        </w:rPr>
        <w:t xml:space="preserve">action </w:t>
      </w:r>
      <w:r w:rsidR="003D5ACE">
        <w:rPr>
          <w:b/>
          <w:bCs/>
          <w:sz w:val="24"/>
          <w:szCs w:val="24"/>
        </w:rPr>
        <w:t>1</w:t>
      </w:r>
      <w:r w:rsidR="004E2589">
        <w:rPr>
          <w:b/>
          <w:bCs/>
          <w:sz w:val="24"/>
          <w:szCs w:val="24"/>
        </w:rPr>
        <w:t>a</w:t>
      </w:r>
      <w:r w:rsidR="008427ED" w:rsidRPr="00CB02D9">
        <w:rPr>
          <w:b/>
          <w:bCs/>
          <w:sz w:val="24"/>
          <w:szCs w:val="24"/>
        </w:rPr>
        <w:t> :</w:t>
      </w:r>
      <w:r w:rsidR="00A759C7">
        <w:rPr>
          <w:b/>
          <w:bCs/>
          <w:sz w:val="24"/>
          <w:szCs w:val="24"/>
        </w:rPr>
        <w:t xml:space="preserve"> </w:t>
      </w:r>
      <w:r w:rsidR="003D5ACE" w:rsidRPr="004C17EF">
        <w:rPr>
          <w:b/>
          <w:bCs/>
          <w:i/>
          <w:iCs/>
          <w:color w:val="ED7D31" w:themeColor="accent2"/>
          <w:sz w:val="24"/>
          <w:szCs w:val="24"/>
        </w:rPr>
        <w:t xml:space="preserve">garantir les investissements à long terme </w:t>
      </w:r>
      <w:r w:rsidR="00E25C6C" w:rsidRPr="004C17EF">
        <w:rPr>
          <w:b/>
          <w:bCs/>
          <w:i/>
          <w:iCs/>
          <w:color w:val="ED7D31" w:themeColor="accent2"/>
          <w:sz w:val="24"/>
          <w:szCs w:val="24"/>
        </w:rPr>
        <w:t>sur Dos d’Ane</w:t>
      </w:r>
    </w:p>
    <w:p w14:paraId="04C0B0C4" w14:textId="4AEA2F09" w:rsidR="00C541C0" w:rsidRPr="00CB02D9" w:rsidRDefault="00C541C0"/>
    <w:tbl>
      <w:tblPr>
        <w:tblW w:w="930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78"/>
        <w:gridCol w:w="4325"/>
      </w:tblGrid>
      <w:tr w:rsidR="00A759C7" w:rsidRPr="00FD1545" w14:paraId="0A22D6DE" w14:textId="77777777" w:rsidTr="007C346A">
        <w:trPr>
          <w:trHeight w:val="884"/>
        </w:trPr>
        <w:tc>
          <w:tcPr>
            <w:tcW w:w="9303" w:type="dxa"/>
            <w:gridSpan w:val="2"/>
          </w:tcPr>
          <w:p w14:paraId="70AD6CB5" w14:textId="5C712FC1" w:rsidR="00A759C7" w:rsidRPr="00F468F2" w:rsidRDefault="00783287" w:rsidP="00E5742A">
            <w:pPr>
              <w:spacing w:after="0"/>
              <w:rPr>
                <w:b/>
                <w:bCs/>
                <w:sz w:val="20"/>
                <w:szCs w:val="22"/>
              </w:rPr>
            </w:pPr>
            <w:r w:rsidRPr="00F468F2">
              <w:rPr>
                <w:b/>
                <w:bCs/>
                <w:sz w:val="20"/>
                <w:szCs w:val="22"/>
              </w:rPr>
              <w:t>Motif de l’action</w:t>
            </w:r>
          </w:p>
          <w:p w14:paraId="78B85639" w14:textId="37EB846D" w:rsidR="003B4FD0" w:rsidRPr="00B60058" w:rsidRDefault="00527B4B" w:rsidP="004B7138">
            <w:pPr>
              <w:rPr>
                <w:szCs w:val="18"/>
              </w:rPr>
            </w:pPr>
            <w:r w:rsidRPr="00527B4B">
              <w:rPr>
                <w:szCs w:val="18"/>
              </w:rPr>
              <w:t>Une forte attente concernant l'arrivée de l'irrigation sur le Plateau et la réhabilitation du réseau de Dos d’Ane est remontée lors des rencontres.</w:t>
            </w:r>
          </w:p>
          <w:p w14:paraId="0FC2D61C" w14:textId="6C64812A" w:rsidR="0068315B" w:rsidRPr="00C468DB" w:rsidRDefault="0068315B" w:rsidP="004B7138">
            <w:pPr>
              <w:rPr>
                <w:szCs w:val="18"/>
              </w:rPr>
            </w:pPr>
            <w:r w:rsidRPr="00C468DB">
              <w:rPr>
                <w:szCs w:val="18"/>
              </w:rPr>
              <w:t xml:space="preserve">Deux terroirs </w:t>
            </w:r>
            <w:r w:rsidR="00C468DB">
              <w:rPr>
                <w:szCs w:val="18"/>
              </w:rPr>
              <w:t xml:space="preserve">sont </w:t>
            </w:r>
            <w:r w:rsidRPr="00C468DB">
              <w:rPr>
                <w:szCs w:val="18"/>
              </w:rPr>
              <w:t>concernés</w:t>
            </w:r>
            <w:r w:rsidR="00C468DB">
              <w:rPr>
                <w:szCs w:val="18"/>
              </w:rPr>
              <w:t> :</w:t>
            </w:r>
            <w:r w:rsidR="00F12D7A">
              <w:rPr>
                <w:szCs w:val="18"/>
              </w:rPr>
              <w:t xml:space="preserve"> </w:t>
            </w:r>
            <w:r w:rsidRPr="00C468DB">
              <w:rPr>
                <w:szCs w:val="18"/>
              </w:rPr>
              <w:t>maraîcher de Dos d’Ane</w:t>
            </w:r>
            <w:r w:rsidR="00F12D7A">
              <w:rPr>
                <w:szCs w:val="18"/>
              </w:rPr>
              <w:t xml:space="preserve"> et </w:t>
            </w:r>
            <w:r w:rsidRPr="00C468DB">
              <w:rPr>
                <w:szCs w:val="18"/>
              </w:rPr>
              <w:t>cannier sur le Plateau Sainte- Thérèse</w:t>
            </w:r>
          </w:p>
          <w:p w14:paraId="53E30725" w14:textId="051E02F1" w:rsidR="0068315B" w:rsidRPr="004B7138" w:rsidRDefault="00E25C6C" w:rsidP="004B7138">
            <w:pPr>
              <w:rPr>
                <w:b/>
                <w:bCs/>
                <w:szCs w:val="18"/>
              </w:rPr>
            </w:pPr>
            <w:r w:rsidRPr="004B7138">
              <w:rPr>
                <w:b/>
                <w:bCs/>
                <w:szCs w:val="18"/>
              </w:rPr>
              <w:t xml:space="preserve">La présente action porte </w:t>
            </w:r>
            <w:r w:rsidR="004B7138" w:rsidRPr="004B7138">
              <w:rPr>
                <w:b/>
                <w:bCs/>
                <w:szCs w:val="18"/>
              </w:rPr>
              <w:t>sur Dos d’Ane</w:t>
            </w:r>
          </w:p>
          <w:p w14:paraId="749927F3" w14:textId="3C819FFA" w:rsidR="00B95D0D" w:rsidRPr="008A6A84" w:rsidRDefault="00B95D0D" w:rsidP="00B95D0D">
            <w:pPr>
              <w:autoSpaceDE w:val="0"/>
              <w:autoSpaceDN w:val="0"/>
              <w:adjustRightInd w:val="0"/>
              <w:rPr>
                <w:rFonts w:cs="Times New Roman"/>
                <w:szCs w:val="18"/>
              </w:rPr>
            </w:pPr>
            <w:r w:rsidRPr="008A6A84">
              <w:rPr>
                <w:rFonts w:cs="Times New Roman"/>
                <w:b/>
                <w:i/>
                <w:szCs w:val="18"/>
                <w:u w:val="single"/>
              </w:rPr>
              <w:t>Le secteur de Dos d’Âne</w:t>
            </w:r>
            <w:r w:rsidRPr="008A6A84">
              <w:rPr>
                <w:rFonts w:cs="Times New Roman"/>
                <w:szCs w:val="18"/>
              </w:rPr>
              <w:t>, situé entre 1 000 et 1 200 mètres d’altitude sur la commune de La Possession, constitue aujourd’hui l’un des moteurs essentiels de la dynamique agricole locale. Principal bassin de production maraîchère, il concentre à lui seul 52 % de l’activité maraîchère de la commune.</w:t>
            </w:r>
          </w:p>
          <w:p w14:paraId="09C7F6C6" w14:textId="77777777" w:rsidR="00B95D0D" w:rsidRPr="008A6A84" w:rsidRDefault="00B95D0D" w:rsidP="00B95D0D">
            <w:pPr>
              <w:autoSpaceDE w:val="0"/>
              <w:autoSpaceDN w:val="0"/>
              <w:adjustRightInd w:val="0"/>
              <w:rPr>
                <w:rFonts w:cs="Times New Roman"/>
                <w:szCs w:val="18"/>
              </w:rPr>
            </w:pPr>
            <w:r w:rsidRPr="008A6A84">
              <w:rPr>
                <w:rFonts w:cs="Times New Roman"/>
                <w:szCs w:val="18"/>
              </w:rPr>
              <w:t>Ces cultures, particulièrement sensibles aux variations hydriques, nécessitent un approvisionnement en eau fiable et régulier. Or, le réseau d’irrigation existant présente une dégradation progressive de ses ouvrages, compromettant la continuité et la qualité de l’alimentation en eau.</w:t>
            </w:r>
          </w:p>
          <w:p w14:paraId="4C94F90A" w14:textId="1EBA139E" w:rsidR="00431F94" w:rsidRPr="00FD1545" w:rsidRDefault="00B95D0D" w:rsidP="00B95D0D">
            <w:pPr>
              <w:autoSpaceDE w:val="0"/>
              <w:autoSpaceDN w:val="0"/>
              <w:adjustRightInd w:val="0"/>
              <w:rPr>
                <w:rFonts w:cs="TimesNewRomanPSMT"/>
                <w:sz w:val="24"/>
                <w:szCs w:val="24"/>
              </w:rPr>
            </w:pPr>
            <w:r w:rsidRPr="008A6A84">
              <w:rPr>
                <w:rFonts w:cs="Times New Roman"/>
                <w:szCs w:val="18"/>
              </w:rPr>
              <w:t>L’action proposée vise ainsi à améliorer et sécuriser durablement l’approvisionnement en eau d’irrigation du plateau agricole de Dos d’Âne, afin de soutenir la pérennité et le développement de l’activité maraîchère possessionnaise.</w:t>
            </w:r>
          </w:p>
        </w:tc>
      </w:tr>
      <w:tr w:rsidR="00A759C7" w:rsidRPr="00FD1545" w14:paraId="0C9C36D4" w14:textId="77777777" w:rsidTr="00C85B4E">
        <w:trPr>
          <w:trHeight w:val="3364"/>
        </w:trPr>
        <w:tc>
          <w:tcPr>
            <w:tcW w:w="4978" w:type="dxa"/>
            <w:tcBorders>
              <w:top w:val="single" w:sz="4" w:space="0" w:color="auto"/>
              <w:left w:val="single" w:sz="4" w:space="0" w:color="auto"/>
              <w:bottom w:val="single" w:sz="4" w:space="0" w:color="auto"/>
              <w:right w:val="single" w:sz="4" w:space="0" w:color="auto"/>
            </w:tcBorders>
          </w:tcPr>
          <w:p w14:paraId="6F49FC02" w14:textId="1383C922" w:rsidR="00A759C7" w:rsidRPr="002D331E" w:rsidRDefault="00A759C7" w:rsidP="00AF35BD">
            <w:pPr>
              <w:spacing w:after="0"/>
              <w:rPr>
                <w:b/>
                <w:bCs/>
                <w:sz w:val="20"/>
                <w:szCs w:val="22"/>
              </w:rPr>
            </w:pPr>
            <w:r w:rsidRPr="002D331E">
              <w:rPr>
                <w:b/>
                <w:bCs/>
                <w:sz w:val="20"/>
                <w:szCs w:val="22"/>
              </w:rPr>
              <w:t>Localisation</w:t>
            </w:r>
          </w:p>
          <w:p w14:paraId="0456E592" w14:textId="4CEFAB7A" w:rsidR="009D5A75" w:rsidRPr="004E09D6" w:rsidRDefault="003D3D62" w:rsidP="004E09D6">
            <w:pPr>
              <w:autoSpaceDE w:val="0"/>
              <w:autoSpaceDN w:val="0"/>
              <w:adjustRightInd w:val="0"/>
              <w:rPr>
                <w:rFonts w:cs="Times New Roman"/>
                <w:szCs w:val="18"/>
              </w:rPr>
            </w:pPr>
            <w:r w:rsidRPr="004E09D6">
              <w:rPr>
                <w:rFonts w:cs="Times New Roman"/>
                <w:szCs w:val="18"/>
              </w:rPr>
              <w:t>Dos d’Ane dispose d’un périmètre irrigué s’étendant sur une superficie d’environ 30 ha</w:t>
            </w:r>
            <w:r w:rsidR="003C40C4" w:rsidRPr="004E09D6">
              <w:rPr>
                <w:rFonts w:cs="Times New Roman"/>
                <w:szCs w:val="18"/>
              </w:rPr>
              <w:t xml:space="preserve"> (18 ha irrigués par le réseau)</w:t>
            </w:r>
            <w:r w:rsidR="009D5A75" w:rsidRPr="004E09D6">
              <w:rPr>
                <w:rFonts w:cs="Times New Roman"/>
                <w:szCs w:val="18"/>
              </w:rPr>
              <w:t>.</w:t>
            </w:r>
          </w:p>
          <w:p w14:paraId="53493569" w14:textId="0EF0F47F" w:rsidR="003D3D62" w:rsidRPr="004E09D6" w:rsidRDefault="003D3D62" w:rsidP="00B97165">
            <w:pPr>
              <w:autoSpaceDE w:val="0"/>
              <w:autoSpaceDN w:val="0"/>
              <w:adjustRightInd w:val="0"/>
              <w:rPr>
                <w:rFonts w:cs="Times New Roman"/>
                <w:szCs w:val="18"/>
              </w:rPr>
            </w:pPr>
            <w:r w:rsidRPr="004E09D6">
              <w:rPr>
                <w:rFonts w:cs="Times New Roman"/>
                <w:szCs w:val="18"/>
              </w:rPr>
              <w:t>L'alimentation du périmètre irrigué de Dos d'Âne est actuellement assurée par</w:t>
            </w:r>
            <w:r w:rsidR="00B97165">
              <w:rPr>
                <w:rFonts w:cs="Times New Roman"/>
                <w:szCs w:val="18"/>
              </w:rPr>
              <w:t> :</w:t>
            </w:r>
          </w:p>
          <w:p w14:paraId="3A92D290" w14:textId="58420A60" w:rsidR="003D3D62" w:rsidRPr="00B97165" w:rsidRDefault="003D3D62" w:rsidP="00B97165">
            <w:pPr>
              <w:pStyle w:val="Paragraphedeliste"/>
              <w:numPr>
                <w:ilvl w:val="0"/>
                <w:numId w:val="7"/>
              </w:numPr>
              <w:autoSpaceDE w:val="0"/>
              <w:autoSpaceDN w:val="0"/>
              <w:adjustRightInd w:val="0"/>
              <w:ind w:left="209" w:hanging="209"/>
              <w:contextualSpacing w:val="0"/>
              <w:rPr>
                <w:rFonts w:cs="Times New Roman"/>
                <w:szCs w:val="18"/>
              </w:rPr>
            </w:pPr>
            <w:r w:rsidRPr="00B97165">
              <w:rPr>
                <w:rFonts w:cs="Times New Roman"/>
                <w:szCs w:val="18"/>
              </w:rPr>
              <w:t>Un captage dans la ravine à Marquet qui alimente une retenue collinaire de 1000 m</w:t>
            </w:r>
            <w:r w:rsidR="00B37E90" w:rsidRPr="00B97165">
              <w:rPr>
                <w:rFonts w:cs="Times New Roman"/>
                <w:szCs w:val="18"/>
              </w:rPr>
              <w:t>3 ;</w:t>
            </w:r>
          </w:p>
          <w:p w14:paraId="23A0FD30" w14:textId="059ABCD7" w:rsidR="003D3D62" w:rsidRPr="00B97165" w:rsidRDefault="003D3D62" w:rsidP="00B97165">
            <w:pPr>
              <w:pStyle w:val="Paragraphedeliste"/>
              <w:numPr>
                <w:ilvl w:val="0"/>
                <w:numId w:val="7"/>
              </w:numPr>
              <w:autoSpaceDE w:val="0"/>
              <w:autoSpaceDN w:val="0"/>
              <w:adjustRightInd w:val="0"/>
              <w:ind w:left="209" w:hanging="209"/>
              <w:contextualSpacing w:val="0"/>
              <w:rPr>
                <w:rFonts w:cs="Times New Roman"/>
                <w:szCs w:val="18"/>
              </w:rPr>
            </w:pPr>
            <w:r w:rsidRPr="00B97165">
              <w:rPr>
                <w:rFonts w:cs="Times New Roman"/>
                <w:szCs w:val="18"/>
              </w:rPr>
              <w:t>Une retenue collinaire de 30 000 m3 équipée d'une station de pompage qui refoule dans une conduite vers la retenue collinaire de 1000 m3 ;</w:t>
            </w:r>
          </w:p>
          <w:p w14:paraId="351D45A8" w14:textId="0E8E8A8F" w:rsidR="003D3D62" w:rsidRPr="00B97165" w:rsidRDefault="003D3D62" w:rsidP="00B97165">
            <w:pPr>
              <w:pStyle w:val="Paragraphedeliste"/>
              <w:numPr>
                <w:ilvl w:val="0"/>
                <w:numId w:val="7"/>
              </w:numPr>
              <w:autoSpaceDE w:val="0"/>
              <w:autoSpaceDN w:val="0"/>
              <w:adjustRightInd w:val="0"/>
              <w:ind w:left="209" w:hanging="209"/>
              <w:contextualSpacing w:val="0"/>
              <w:rPr>
                <w:rFonts w:cs="Times New Roman"/>
                <w:szCs w:val="18"/>
              </w:rPr>
            </w:pPr>
            <w:r w:rsidRPr="00B97165">
              <w:rPr>
                <w:rFonts w:cs="Times New Roman"/>
                <w:szCs w:val="18"/>
              </w:rPr>
              <w:t>Le forage Grand Coin qui refoule également dans la conduite de refoulement qui relie</w:t>
            </w:r>
            <w:r w:rsidR="00B37E90" w:rsidRPr="00B97165">
              <w:rPr>
                <w:rFonts w:cs="Times New Roman"/>
                <w:szCs w:val="18"/>
              </w:rPr>
              <w:t xml:space="preserve"> </w:t>
            </w:r>
            <w:r w:rsidRPr="00B97165">
              <w:rPr>
                <w:rFonts w:cs="Times New Roman"/>
                <w:szCs w:val="18"/>
              </w:rPr>
              <w:t>les 2 retenues</w:t>
            </w:r>
            <w:r w:rsidR="00B37E90" w:rsidRPr="00B97165">
              <w:rPr>
                <w:rFonts w:cs="Times New Roman"/>
                <w:szCs w:val="18"/>
              </w:rPr>
              <w:t xml:space="preserve"> </w:t>
            </w:r>
            <w:r w:rsidRPr="00B97165">
              <w:rPr>
                <w:rFonts w:cs="Times New Roman"/>
                <w:szCs w:val="18"/>
              </w:rPr>
              <w:t>collinaires.</w:t>
            </w:r>
          </w:p>
          <w:p w14:paraId="6A0DE637" w14:textId="77777777" w:rsidR="009D5A75" w:rsidRPr="0092057B" w:rsidRDefault="0092057B" w:rsidP="007C346A">
            <w:pPr>
              <w:jc w:val="center"/>
              <w:rPr>
                <w:b/>
                <w:bCs/>
                <w:noProof/>
              </w:rPr>
            </w:pPr>
            <w:r w:rsidRPr="0092057B">
              <w:rPr>
                <w:b/>
                <w:bCs/>
                <w:noProof/>
              </w:rPr>
              <w:t>Plan de localisation des aménagemenrs envisagés</w:t>
            </w:r>
          </w:p>
          <w:p w14:paraId="61984FB8" w14:textId="01EB7467" w:rsidR="0092057B" w:rsidRPr="00FD1545" w:rsidRDefault="00B42ACF" w:rsidP="007C346A">
            <w:pPr>
              <w:jc w:val="center"/>
            </w:pPr>
            <w:r>
              <w:rPr>
                <w:noProof/>
              </w:rPr>
              <w:drawing>
                <wp:inline distT="0" distB="0" distL="0" distR="0" wp14:anchorId="40DD5102" wp14:editId="2EA0EE6E">
                  <wp:extent cx="3048000" cy="18376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837690"/>
                          </a:xfrm>
                          <a:prstGeom prst="rect">
                            <a:avLst/>
                          </a:prstGeom>
                          <a:noFill/>
                        </pic:spPr>
                      </pic:pic>
                    </a:graphicData>
                  </a:graphic>
                </wp:inline>
              </w:drawing>
            </w:r>
          </w:p>
        </w:tc>
        <w:tc>
          <w:tcPr>
            <w:tcW w:w="4325" w:type="dxa"/>
            <w:tcBorders>
              <w:top w:val="single" w:sz="4" w:space="0" w:color="auto"/>
              <w:left w:val="single" w:sz="4" w:space="0" w:color="auto"/>
              <w:bottom w:val="single" w:sz="4" w:space="0" w:color="auto"/>
              <w:right w:val="single" w:sz="4" w:space="0" w:color="auto"/>
            </w:tcBorders>
          </w:tcPr>
          <w:p w14:paraId="477E2C4B" w14:textId="77777777" w:rsidR="00783287" w:rsidRPr="002D331E" w:rsidRDefault="00783287" w:rsidP="00AF35BD">
            <w:pPr>
              <w:spacing w:after="0"/>
              <w:rPr>
                <w:b/>
                <w:bCs/>
                <w:sz w:val="20"/>
                <w:szCs w:val="22"/>
              </w:rPr>
            </w:pPr>
            <w:r w:rsidRPr="002D331E">
              <w:rPr>
                <w:b/>
                <w:bCs/>
                <w:sz w:val="20"/>
                <w:szCs w:val="22"/>
              </w:rPr>
              <w:t>Description de l’action</w:t>
            </w:r>
          </w:p>
          <w:p w14:paraId="53DCD357" w14:textId="77777777" w:rsidR="00097D05" w:rsidRPr="00AC2348" w:rsidRDefault="00097D05" w:rsidP="00DA6068">
            <w:pPr>
              <w:spacing w:line="360" w:lineRule="auto"/>
              <w:rPr>
                <w:szCs w:val="18"/>
              </w:rPr>
            </w:pPr>
            <w:r w:rsidRPr="00AC2348">
              <w:rPr>
                <w:szCs w:val="18"/>
              </w:rPr>
              <w:t xml:space="preserve">Réaliser les équipements collectifs est la condition majeure pour le maintien et le </w:t>
            </w:r>
            <w:r w:rsidRPr="00481C60">
              <w:rPr>
                <w:szCs w:val="18"/>
              </w:rPr>
              <w:t>développement</w:t>
            </w:r>
            <w:r w:rsidRPr="00AC2348">
              <w:rPr>
                <w:szCs w:val="18"/>
              </w:rPr>
              <w:t xml:space="preserve"> de l’agriculture sur Dos d’Ane comme sur le Plateau St Thérèse. Respectivement, il s’agit d’assurer et de sécuriser le réseau existant sur Dos d’Ane et de permettre la diversification sur le Plateau.</w:t>
            </w:r>
          </w:p>
          <w:p w14:paraId="4F3CDCCA" w14:textId="59A48CD7" w:rsidR="00097D05" w:rsidRPr="00AC2348" w:rsidRDefault="00097D05" w:rsidP="00AC2348">
            <w:pPr>
              <w:spacing w:line="360" w:lineRule="auto"/>
              <w:rPr>
                <w:szCs w:val="18"/>
              </w:rPr>
            </w:pPr>
            <w:r w:rsidRPr="00AC2348">
              <w:rPr>
                <w:szCs w:val="18"/>
              </w:rPr>
              <w:t>Le périmètre de protection du PAEN garantira la pérennité des investissements publics.</w:t>
            </w:r>
          </w:p>
          <w:p w14:paraId="6A424D4B" w14:textId="73709CA5" w:rsidR="003C40C4" w:rsidRPr="00D26316" w:rsidRDefault="0031038A" w:rsidP="00D26316">
            <w:pPr>
              <w:spacing w:line="360" w:lineRule="auto"/>
              <w:rPr>
                <w:rFonts w:cs="TimesNewRomanPSMT"/>
                <w:b/>
                <w:bCs/>
                <w:sz w:val="22"/>
                <w:szCs w:val="22"/>
              </w:rPr>
            </w:pPr>
            <w:r w:rsidRPr="00D26316">
              <w:rPr>
                <w:b/>
                <w:bCs/>
                <w:szCs w:val="18"/>
              </w:rPr>
              <w:t>Sur Dos d’Ane</w:t>
            </w:r>
            <w:r w:rsidR="00D26316" w:rsidRPr="00D26316">
              <w:rPr>
                <w:b/>
                <w:bCs/>
                <w:szCs w:val="18"/>
              </w:rPr>
              <w:t xml:space="preserve">, </w:t>
            </w:r>
            <w:r w:rsidR="004C4D20" w:rsidRPr="00D26316">
              <w:rPr>
                <w:b/>
                <w:bCs/>
                <w:szCs w:val="18"/>
              </w:rPr>
              <w:t>Il s’agit de réhabiliter les ouvrages existants (retenues collinaires, station de pompage</w:t>
            </w:r>
            <w:r w:rsidR="004A468E">
              <w:rPr>
                <w:b/>
                <w:bCs/>
                <w:szCs w:val="18"/>
              </w:rPr>
              <w:t>)</w:t>
            </w:r>
            <w:r w:rsidR="004C4D20" w:rsidRPr="00D26316">
              <w:rPr>
                <w:b/>
                <w:bCs/>
                <w:szCs w:val="18"/>
              </w:rPr>
              <w:t xml:space="preserve"> et de créer</w:t>
            </w:r>
            <w:r w:rsidR="00B37E90" w:rsidRPr="00D26316">
              <w:rPr>
                <w:b/>
                <w:bCs/>
                <w:szCs w:val="18"/>
              </w:rPr>
              <w:t xml:space="preserve"> </w:t>
            </w:r>
            <w:r w:rsidR="004C4D20" w:rsidRPr="00D26316">
              <w:rPr>
                <w:b/>
                <w:bCs/>
                <w:szCs w:val="18"/>
              </w:rPr>
              <w:t>un nouveau réseau d’irrigation (l’ancien système s’avérant obsolète).</w:t>
            </w:r>
          </w:p>
        </w:tc>
      </w:tr>
    </w:tbl>
    <w:p w14:paraId="5EDA67B8" w14:textId="77777777" w:rsidR="00896180" w:rsidRDefault="00896180">
      <w:r>
        <w:br w:type="page"/>
      </w:r>
    </w:p>
    <w:tbl>
      <w:tblPr>
        <w:tblW w:w="930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409"/>
        <w:gridCol w:w="2569"/>
        <w:gridCol w:w="2407"/>
        <w:gridCol w:w="1918"/>
      </w:tblGrid>
      <w:tr w:rsidR="00C541C0" w:rsidRPr="00FD1545" w14:paraId="7F0587BC" w14:textId="77777777" w:rsidTr="00450271">
        <w:tc>
          <w:tcPr>
            <w:tcW w:w="9303" w:type="dxa"/>
            <w:gridSpan w:val="4"/>
            <w:tcBorders>
              <w:top w:val="single" w:sz="8" w:space="0" w:color="auto"/>
              <w:bottom w:val="single" w:sz="4" w:space="0" w:color="auto"/>
            </w:tcBorders>
          </w:tcPr>
          <w:p w14:paraId="5FF00ACD" w14:textId="5E509822" w:rsidR="00C541C0" w:rsidRPr="00FD1545" w:rsidRDefault="00783287" w:rsidP="00BF5628">
            <w:pPr>
              <w:spacing w:after="0" w:line="360" w:lineRule="auto"/>
              <w:rPr>
                <w:b/>
                <w:bCs/>
                <w:szCs w:val="18"/>
              </w:rPr>
            </w:pPr>
            <w:r w:rsidRPr="00FD1545">
              <w:rPr>
                <w:b/>
                <w:bCs/>
                <w:szCs w:val="18"/>
              </w:rPr>
              <w:lastRenderedPageBreak/>
              <w:t>Action opérationnelle</w:t>
            </w:r>
            <w:r w:rsidR="00B64839">
              <w:rPr>
                <w:b/>
                <w:bCs/>
                <w:szCs w:val="18"/>
              </w:rPr>
              <w:t> : s</w:t>
            </w:r>
            <w:r w:rsidR="00B64839" w:rsidRPr="00B64839">
              <w:rPr>
                <w:b/>
                <w:bCs/>
                <w:szCs w:val="18"/>
              </w:rPr>
              <w:t>'assurer de la pérennité des équipements réalisés</w:t>
            </w:r>
          </w:p>
          <w:p w14:paraId="2F3344EB" w14:textId="1D9DDFE9" w:rsidR="004C4D20" w:rsidRDefault="004C4D20" w:rsidP="008D7C42">
            <w:pPr>
              <w:numPr>
                <w:ilvl w:val="0"/>
                <w:numId w:val="8"/>
              </w:numPr>
              <w:spacing w:after="0" w:line="360" w:lineRule="auto"/>
              <w:ind w:left="284" w:hanging="284"/>
              <w:rPr>
                <w:szCs w:val="18"/>
              </w:rPr>
            </w:pPr>
            <w:r w:rsidRPr="00896180">
              <w:rPr>
                <w:szCs w:val="18"/>
              </w:rPr>
              <w:t>Diagnostic des ouvrages (captage, retenues collinaires et forage)</w:t>
            </w:r>
            <w:r w:rsidR="008154E3">
              <w:rPr>
                <w:szCs w:val="18"/>
              </w:rPr>
              <w:t>.</w:t>
            </w:r>
          </w:p>
          <w:p w14:paraId="6A3E1329" w14:textId="2A68F11B" w:rsidR="00DB020D" w:rsidRPr="00DB020D" w:rsidRDefault="00DB020D" w:rsidP="008D7C42">
            <w:pPr>
              <w:numPr>
                <w:ilvl w:val="0"/>
                <w:numId w:val="8"/>
              </w:numPr>
              <w:spacing w:after="0" w:line="360" w:lineRule="auto"/>
              <w:ind w:left="284" w:hanging="284"/>
              <w:rPr>
                <w:szCs w:val="18"/>
              </w:rPr>
            </w:pPr>
            <w:r w:rsidRPr="00DB020D">
              <w:rPr>
                <w:szCs w:val="18"/>
              </w:rPr>
              <w:t>Etude de dimensionnement du réseau</w:t>
            </w:r>
            <w:r w:rsidR="008154E3">
              <w:rPr>
                <w:szCs w:val="18"/>
              </w:rPr>
              <w:t>.</w:t>
            </w:r>
          </w:p>
          <w:p w14:paraId="5CE7BB8B" w14:textId="4CFFE18A" w:rsidR="004C4D20" w:rsidRPr="00896180" w:rsidRDefault="004C4D20" w:rsidP="008D7C42">
            <w:pPr>
              <w:numPr>
                <w:ilvl w:val="0"/>
                <w:numId w:val="8"/>
              </w:numPr>
              <w:spacing w:after="0" w:line="360" w:lineRule="auto"/>
              <w:ind w:left="284" w:hanging="284"/>
              <w:rPr>
                <w:szCs w:val="18"/>
              </w:rPr>
            </w:pPr>
            <w:r w:rsidRPr="00896180">
              <w:rPr>
                <w:szCs w:val="18"/>
              </w:rPr>
              <w:t>Réhabilitation et mise aux normes de la station de pompage</w:t>
            </w:r>
            <w:r w:rsidR="00387EB8">
              <w:rPr>
                <w:szCs w:val="18"/>
              </w:rPr>
              <w:t xml:space="preserve"> </w:t>
            </w:r>
            <w:r w:rsidRPr="00896180">
              <w:rPr>
                <w:szCs w:val="18"/>
              </w:rPr>
              <w:t>et des retenues</w:t>
            </w:r>
            <w:r w:rsidR="008154E3">
              <w:rPr>
                <w:szCs w:val="18"/>
              </w:rPr>
              <w:t>.</w:t>
            </w:r>
          </w:p>
          <w:p w14:paraId="4112AAF9" w14:textId="2DEF0C1A" w:rsidR="004C4D20" w:rsidRPr="00FD1545" w:rsidRDefault="004C4D20" w:rsidP="008D7C42">
            <w:pPr>
              <w:numPr>
                <w:ilvl w:val="0"/>
                <w:numId w:val="8"/>
              </w:numPr>
              <w:spacing w:after="0" w:line="360" w:lineRule="auto"/>
              <w:ind w:left="284" w:hanging="284"/>
              <w:rPr>
                <w:szCs w:val="18"/>
              </w:rPr>
            </w:pPr>
            <w:r w:rsidRPr="00FD1545">
              <w:rPr>
                <w:szCs w:val="18"/>
              </w:rPr>
              <w:t>Réalisation d’un réservoir</w:t>
            </w:r>
            <w:r w:rsidR="00F16E3B">
              <w:rPr>
                <w:szCs w:val="18"/>
              </w:rPr>
              <w:t>.</w:t>
            </w:r>
          </w:p>
          <w:p w14:paraId="22D3DB80" w14:textId="4A350CC0" w:rsidR="004C4D20" w:rsidRPr="00FD1545" w:rsidRDefault="004C4D20" w:rsidP="008D7C42">
            <w:pPr>
              <w:numPr>
                <w:ilvl w:val="0"/>
                <w:numId w:val="8"/>
              </w:numPr>
              <w:spacing w:after="0" w:line="360" w:lineRule="auto"/>
              <w:ind w:left="284" w:hanging="284"/>
              <w:rPr>
                <w:szCs w:val="18"/>
              </w:rPr>
            </w:pPr>
            <w:r w:rsidRPr="00FD1545">
              <w:rPr>
                <w:szCs w:val="18"/>
              </w:rPr>
              <w:t>Pose des réseaux de distribution et mise en place de bornes d’irrigation et autres</w:t>
            </w:r>
            <w:r w:rsidR="0030365F" w:rsidRPr="00FD1545">
              <w:rPr>
                <w:szCs w:val="18"/>
              </w:rPr>
              <w:t xml:space="preserve"> </w:t>
            </w:r>
            <w:r w:rsidRPr="00FD1545">
              <w:rPr>
                <w:szCs w:val="18"/>
              </w:rPr>
              <w:t>équipements</w:t>
            </w:r>
            <w:r w:rsidR="00F16E3B">
              <w:rPr>
                <w:szCs w:val="18"/>
              </w:rPr>
              <w:t>.</w:t>
            </w:r>
          </w:p>
          <w:p w14:paraId="3498832F" w14:textId="2D5B8F18" w:rsidR="004C4D20" w:rsidRPr="00FD1545" w:rsidRDefault="004C4D20" w:rsidP="008D7C42">
            <w:pPr>
              <w:numPr>
                <w:ilvl w:val="0"/>
                <w:numId w:val="8"/>
              </w:numPr>
              <w:spacing w:after="0" w:line="360" w:lineRule="auto"/>
              <w:ind w:left="284" w:hanging="284"/>
              <w:rPr>
                <w:szCs w:val="18"/>
              </w:rPr>
            </w:pPr>
            <w:r w:rsidRPr="00FD1545">
              <w:rPr>
                <w:szCs w:val="18"/>
              </w:rPr>
              <w:t>Recherche de ressources en eau supplémentaires</w:t>
            </w:r>
            <w:r w:rsidR="00F16E3B">
              <w:rPr>
                <w:szCs w:val="18"/>
              </w:rPr>
              <w:t>.</w:t>
            </w:r>
          </w:p>
          <w:p w14:paraId="335C8275" w14:textId="024105E3" w:rsidR="004C4D20" w:rsidRPr="00FD1545" w:rsidRDefault="004C4D20" w:rsidP="008D7C42">
            <w:pPr>
              <w:numPr>
                <w:ilvl w:val="0"/>
                <w:numId w:val="8"/>
              </w:numPr>
              <w:spacing w:after="0" w:line="360" w:lineRule="auto"/>
              <w:ind w:left="284" w:hanging="284"/>
              <w:rPr>
                <w:szCs w:val="18"/>
              </w:rPr>
            </w:pPr>
            <w:r w:rsidRPr="00FD1545">
              <w:rPr>
                <w:szCs w:val="18"/>
              </w:rPr>
              <w:t>Etude de la valorisation énergétique du périmètre</w:t>
            </w:r>
            <w:r w:rsidR="00A21979">
              <w:rPr>
                <w:szCs w:val="18"/>
              </w:rPr>
              <w:t>.</w:t>
            </w:r>
          </w:p>
        </w:tc>
      </w:tr>
      <w:tr w:rsidR="00F817D0" w:rsidRPr="00FD1545" w14:paraId="7BB41856" w14:textId="77777777" w:rsidTr="00450271">
        <w:tc>
          <w:tcPr>
            <w:tcW w:w="9303" w:type="dxa"/>
            <w:gridSpan w:val="4"/>
            <w:tcBorders>
              <w:top w:val="single" w:sz="4" w:space="0" w:color="auto"/>
              <w:left w:val="single" w:sz="8" w:space="0" w:color="auto"/>
              <w:bottom w:val="single" w:sz="4" w:space="0" w:color="auto"/>
              <w:right w:val="single" w:sz="8" w:space="0" w:color="auto"/>
            </w:tcBorders>
          </w:tcPr>
          <w:p w14:paraId="78157232" w14:textId="77777777" w:rsidR="00F817D0" w:rsidRPr="00BF5628" w:rsidRDefault="00F817D0" w:rsidP="00BF5628">
            <w:pPr>
              <w:spacing w:after="0" w:line="360" w:lineRule="auto"/>
              <w:rPr>
                <w:b/>
                <w:bCs/>
                <w:szCs w:val="18"/>
              </w:rPr>
            </w:pPr>
            <w:r w:rsidRPr="00BF5628">
              <w:rPr>
                <w:b/>
                <w:bCs/>
                <w:szCs w:val="18"/>
              </w:rPr>
              <w:t>Cadre réglementaire</w:t>
            </w:r>
          </w:p>
          <w:p w14:paraId="69CAD76E" w14:textId="77777777" w:rsidR="00F817D0" w:rsidRPr="000857F4" w:rsidRDefault="00F817D0" w:rsidP="008D7C42">
            <w:pPr>
              <w:numPr>
                <w:ilvl w:val="0"/>
                <w:numId w:val="8"/>
              </w:numPr>
              <w:spacing w:after="0" w:line="360" w:lineRule="auto"/>
              <w:ind w:left="284" w:hanging="284"/>
              <w:rPr>
                <w:szCs w:val="18"/>
              </w:rPr>
            </w:pPr>
            <w:r w:rsidRPr="000857F4">
              <w:rPr>
                <w:szCs w:val="18"/>
              </w:rPr>
              <w:t>Code de l’urbanisme, code de l’environnement.</w:t>
            </w:r>
          </w:p>
          <w:p w14:paraId="1D12F7AB" w14:textId="7105FCED" w:rsidR="00F817D0" w:rsidRPr="00A133BB" w:rsidRDefault="00F817D0" w:rsidP="008D7C42">
            <w:pPr>
              <w:numPr>
                <w:ilvl w:val="0"/>
                <w:numId w:val="8"/>
              </w:numPr>
              <w:spacing w:after="0" w:line="360" w:lineRule="auto"/>
              <w:ind w:left="284" w:hanging="284"/>
              <w:rPr>
                <w:b/>
                <w:bCs/>
                <w:color w:val="7D7E7F"/>
              </w:rPr>
            </w:pPr>
            <w:r w:rsidRPr="000857F4">
              <w:rPr>
                <w:szCs w:val="18"/>
              </w:rPr>
              <w:t>Convention pour le droit de passage du réseau.</w:t>
            </w:r>
          </w:p>
        </w:tc>
      </w:tr>
      <w:tr w:rsidR="00C541C0" w:rsidRPr="00FD1545" w14:paraId="5E611D64" w14:textId="77777777" w:rsidTr="00450271">
        <w:tc>
          <w:tcPr>
            <w:tcW w:w="9303" w:type="dxa"/>
            <w:gridSpan w:val="4"/>
            <w:tcBorders>
              <w:top w:val="single" w:sz="4" w:space="0" w:color="auto"/>
              <w:left w:val="single" w:sz="8" w:space="0" w:color="auto"/>
              <w:bottom w:val="single" w:sz="4" w:space="0" w:color="auto"/>
              <w:right w:val="single" w:sz="8" w:space="0" w:color="auto"/>
            </w:tcBorders>
          </w:tcPr>
          <w:p w14:paraId="796736AA" w14:textId="22145E71" w:rsidR="006008F9" w:rsidRPr="00BF5628" w:rsidRDefault="00C541C0" w:rsidP="00BF5628">
            <w:pPr>
              <w:spacing w:after="0" w:line="360" w:lineRule="auto"/>
              <w:rPr>
                <w:b/>
                <w:bCs/>
                <w:szCs w:val="18"/>
              </w:rPr>
            </w:pPr>
            <w:r w:rsidRPr="00BF5628">
              <w:rPr>
                <w:b/>
                <w:bCs/>
                <w:szCs w:val="18"/>
              </w:rPr>
              <w:t xml:space="preserve">Lien avec </w:t>
            </w:r>
            <w:r w:rsidR="00783287" w:rsidRPr="00BF5628">
              <w:rPr>
                <w:b/>
                <w:bCs/>
                <w:szCs w:val="18"/>
              </w:rPr>
              <w:t xml:space="preserve">les autres actions </w:t>
            </w:r>
            <w:r w:rsidR="00056FF0" w:rsidRPr="00BF5628">
              <w:rPr>
                <w:b/>
                <w:bCs/>
                <w:szCs w:val="18"/>
              </w:rPr>
              <w:t>du p</w:t>
            </w:r>
            <w:r w:rsidR="005E2D68" w:rsidRPr="00BF5628">
              <w:rPr>
                <w:b/>
                <w:bCs/>
                <w:szCs w:val="18"/>
              </w:rPr>
              <w:t>r</w:t>
            </w:r>
            <w:r w:rsidR="00056FF0" w:rsidRPr="00BF5628">
              <w:rPr>
                <w:b/>
                <w:bCs/>
                <w:szCs w:val="18"/>
              </w:rPr>
              <w:t xml:space="preserve">ogramme d’action </w:t>
            </w:r>
            <w:r w:rsidR="0011244A" w:rsidRPr="00BF5628">
              <w:rPr>
                <w:b/>
                <w:bCs/>
                <w:szCs w:val="18"/>
              </w:rPr>
              <w:t xml:space="preserve">et </w:t>
            </w:r>
            <w:r w:rsidR="00BF5628" w:rsidRPr="00BF5628">
              <w:rPr>
                <w:b/>
                <w:bCs/>
                <w:szCs w:val="18"/>
              </w:rPr>
              <w:t>autres programmes</w:t>
            </w:r>
          </w:p>
          <w:p w14:paraId="225C55C3" w14:textId="77777777" w:rsidR="004817DA" w:rsidRPr="00BF5628" w:rsidRDefault="003D613C" w:rsidP="00BF5628">
            <w:pPr>
              <w:pStyle w:val="Paragraphedeliste"/>
              <w:numPr>
                <w:ilvl w:val="0"/>
                <w:numId w:val="9"/>
              </w:numPr>
              <w:spacing w:line="360" w:lineRule="auto"/>
              <w:rPr>
                <w:b/>
                <w:bCs/>
                <w:i/>
                <w:iCs/>
                <w:color w:val="E9571C"/>
              </w:rPr>
            </w:pPr>
            <w:r w:rsidRPr="00BF5628">
              <w:rPr>
                <w:b/>
                <w:bCs/>
                <w:i/>
                <w:iCs/>
                <w:color w:val="E9571C"/>
              </w:rPr>
              <w:t>Optimiser l’irrigation à la parcelle</w:t>
            </w:r>
          </w:p>
          <w:p w14:paraId="54B4206B" w14:textId="77777777" w:rsidR="00A967C9" w:rsidRPr="00491964" w:rsidRDefault="00A133BB" w:rsidP="00232C90">
            <w:pPr>
              <w:pStyle w:val="Paragraphedeliste"/>
              <w:numPr>
                <w:ilvl w:val="0"/>
                <w:numId w:val="9"/>
              </w:numPr>
              <w:spacing w:line="360" w:lineRule="auto"/>
              <w:rPr>
                <w:b/>
                <w:bCs/>
                <w:i/>
                <w:iCs/>
                <w:color w:val="7D7E7F"/>
              </w:rPr>
            </w:pPr>
            <w:r w:rsidRPr="00AF66A0">
              <w:rPr>
                <w:b/>
                <w:bCs/>
                <w:color w:val="7D7E7F"/>
              </w:rPr>
              <w:t>Charte</w:t>
            </w:r>
            <w:r w:rsidRPr="00AF66A0">
              <w:rPr>
                <w:rFonts w:eastAsia="Calibri" w:cs="Times New Roman"/>
                <w:b/>
                <w:bCs/>
                <w:color w:val="7D7E7F"/>
                <w:szCs w:val="22"/>
                <w:lang w:eastAsia="en-US"/>
              </w:rPr>
              <w:t xml:space="preserve"> agricole</w:t>
            </w:r>
            <w:r w:rsidRPr="00AF66A0">
              <w:rPr>
                <w:rFonts w:eastAsia="Calibri" w:cs="Times New Roman"/>
                <w:color w:val="7D7E7F"/>
                <w:szCs w:val="22"/>
                <w:lang w:eastAsia="en-US"/>
              </w:rPr>
              <w:t> :</w:t>
            </w:r>
            <w:r w:rsidRPr="00BF5628">
              <w:rPr>
                <w:rFonts w:eastAsia="Calibri" w:cs="Times New Roman"/>
                <w:color w:val="7D7E7F"/>
                <w:szCs w:val="22"/>
                <w:lang w:eastAsia="en-US"/>
              </w:rPr>
              <w:t xml:space="preserve"> accompagner techniquement, politiquement et administrativement l’avancée des grands projets d’irrigation sur le territoire.</w:t>
            </w:r>
          </w:p>
          <w:p w14:paraId="6B34A9C0" w14:textId="68EBC5D3" w:rsidR="00491964" w:rsidRPr="00491964" w:rsidRDefault="00491964" w:rsidP="00232C90">
            <w:pPr>
              <w:pStyle w:val="Paragraphedeliste"/>
              <w:numPr>
                <w:ilvl w:val="0"/>
                <w:numId w:val="9"/>
              </w:numPr>
              <w:spacing w:line="360" w:lineRule="auto"/>
              <w:rPr>
                <w:color w:val="7D7E7F"/>
              </w:rPr>
            </w:pPr>
            <w:r w:rsidRPr="00491964">
              <w:rPr>
                <w:color w:val="7D7E7F"/>
              </w:rPr>
              <w:t>Elaborer et mettre en œuvre un plan de formation spécifique en fonction des besoins des agriculteurs et au contexte hydro-pédoclimatique du territoire.</w:t>
            </w:r>
          </w:p>
        </w:tc>
      </w:tr>
      <w:tr w:rsidR="001808DC" w:rsidRPr="00FD1545" w14:paraId="7655D172" w14:textId="77777777" w:rsidTr="005E49B6">
        <w:trPr>
          <w:trHeight w:val="60"/>
        </w:trPr>
        <w:tc>
          <w:tcPr>
            <w:tcW w:w="9303" w:type="dxa"/>
            <w:gridSpan w:val="4"/>
            <w:tcBorders>
              <w:top w:val="single" w:sz="4" w:space="0" w:color="auto"/>
              <w:bottom w:val="dotted" w:sz="4" w:space="0" w:color="auto"/>
            </w:tcBorders>
          </w:tcPr>
          <w:p w14:paraId="051E4BFD" w14:textId="1BAEEEEB" w:rsidR="001808DC" w:rsidRPr="00FD1545" w:rsidRDefault="001808DC" w:rsidP="001808DC">
            <w:pPr>
              <w:spacing w:line="360" w:lineRule="auto"/>
              <w:rPr>
                <w:b/>
                <w:bCs/>
              </w:rPr>
            </w:pPr>
            <w:r w:rsidRPr="00FD1545">
              <w:rPr>
                <w:b/>
                <w:bCs/>
              </w:rPr>
              <w:t>Montage</w:t>
            </w:r>
          </w:p>
        </w:tc>
      </w:tr>
      <w:tr w:rsidR="006074BE" w:rsidRPr="00ED08A0" w14:paraId="063E3CA7" w14:textId="77777777" w:rsidTr="00FD25FC">
        <w:trPr>
          <w:trHeight w:val="60"/>
        </w:trPr>
        <w:tc>
          <w:tcPr>
            <w:tcW w:w="9303" w:type="dxa"/>
            <w:gridSpan w:val="4"/>
            <w:tcBorders>
              <w:top w:val="dotted" w:sz="4" w:space="0" w:color="auto"/>
            </w:tcBorders>
          </w:tcPr>
          <w:p w14:paraId="221B23EF" w14:textId="16AAC1CD" w:rsidR="006074BE" w:rsidRPr="00ED08A0" w:rsidRDefault="006074BE" w:rsidP="006074BE">
            <w:pPr>
              <w:spacing w:line="360" w:lineRule="auto"/>
              <w:rPr>
                <w:szCs w:val="18"/>
              </w:rPr>
            </w:pPr>
            <w:r w:rsidRPr="00ED08A0">
              <w:rPr>
                <w:szCs w:val="18"/>
              </w:rPr>
              <w:t>Pilote de l’action : Département</w:t>
            </w:r>
          </w:p>
        </w:tc>
      </w:tr>
      <w:tr w:rsidR="0030327C" w:rsidRPr="00FD1545" w14:paraId="2EDF675D" w14:textId="77777777" w:rsidTr="007C346A">
        <w:trPr>
          <w:trHeight w:val="60"/>
        </w:trPr>
        <w:tc>
          <w:tcPr>
            <w:tcW w:w="9303" w:type="dxa"/>
            <w:gridSpan w:val="4"/>
          </w:tcPr>
          <w:p w14:paraId="1CA98852" w14:textId="4F1B701D" w:rsidR="0030327C" w:rsidRPr="00FD1545" w:rsidRDefault="0030327C" w:rsidP="001808DC">
            <w:pPr>
              <w:spacing w:line="360" w:lineRule="auto"/>
              <w:rPr>
                <w:szCs w:val="18"/>
              </w:rPr>
            </w:pPr>
            <w:r w:rsidRPr="00ED08A0">
              <w:rPr>
                <w:szCs w:val="18"/>
              </w:rPr>
              <w:t xml:space="preserve">Partenaires : </w:t>
            </w:r>
            <w:r w:rsidR="00ED08A0" w:rsidRPr="00ED08A0">
              <w:rPr>
                <w:szCs w:val="18"/>
              </w:rPr>
              <w:t>Commune</w:t>
            </w:r>
            <w:r w:rsidR="00F92D45">
              <w:rPr>
                <w:szCs w:val="18"/>
              </w:rPr>
              <w:t>/SAPHIR</w:t>
            </w:r>
          </w:p>
        </w:tc>
      </w:tr>
      <w:tr w:rsidR="0030327C" w:rsidRPr="00FD1545" w14:paraId="4B0C1B9B" w14:textId="77777777" w:rsidTr="005E49B6">
        <w:trPr>
          <w:trHeight w:val="60"/>
        </w:trPr>
        <w:tc>
          <w:tcPr>
            <w:tcW w:w="9303" w:type="dxa"/>
            <w:gridSpan w:val="4"/>
            <w:tcBorders>
              <w:bottom w:val="single" w:sz="4" w:space="0" w:color="auto"/>
            </w:tcBorders>
          </w:tcPr>
          <w:p w14:paraId="026DD835" w14:textId="23A6AECA" w:rsidR="0030327C" w:rsidRPr="00FD1545" w:rsidRDefault="0030327C" w:rsidP="001808DC">
            <w:pPr>
              <w:spacing w:line="360" w:lineRule="auto"/>
              <w:rPr>
                <w:szCs w:val="18"/>
              </w:rPr>
            </w:pPr>
            <w:r w:rsidRPr="006074BE">
              <w:rPr>
                <w:szCs w:val="18"/>
              </w:rPr>
              <w:t xml:space="preserve">Outils réglementaires ou contractuels : </w:t>
            </w:r>
            <w:r w:rsidR="006074BE" w:rsidRPr="006074BE">
              <w:rPr>
                <w:szCs w:val="18"/>
              </w:rPr>
              <w:t>sans objet</w:t>
            </w:r>
          </w:p>
        </w:tc>
      </w:tr>
      <w:tr w:rsidR="00056FF0" w:rsidRPr="00FD1545" w14:paraId="47923223" w14:textId="77777777" w:rsidTr="00450271">
        <w:tc>
          <w:tcPr>
            <w:tcW w:w="2409" w:type="dxa"/>
            <w:tcBorders>
              <w:top w:val="single" w:sz="4" w:space="0" w:color="auto"/>
              <w:left w:val="single" w:sz="8" w:space="0" w:color="auto"/>
              <w:bottom w:val="single" w:sz="4" w:space="0" w:color="auto"/>
            </w:tcBorders>
          </w:tcPr>
          <w:p w14:paraId="07F6A883" w14:textId="1CD17E9A" w:rsidR="00056FF0" w:rsidRPr="00FD1545" w:rsidRDefault="00056FF0" w:rsidP="001808DC">
            <w:pPr>
              <w:spacing w:line="360" w:lineRule="auto"/>
            </w:pPr>
            <w:r w:rsidRPr="00FD1545">
              <w:rPr>
                <w:b/>
                <w:bCs/>
              </w:rPr>
              <w:t>Calendrier et phasage</w:t>
            </w:r>
          </w:p>
        </w:tc>
        <w:tc>
          <w:tcPr>
            <w:tcW w:w="2569" w:type="dxa"/>
            <w:tcBorders>
              <w:top w:val="single" w:sz="4" w:space="0" w:color="auto"/>
              <w:bottom w:val="single" w:sz="4" w:space="0" w:color="auto"/>
            </w:tcBorders>
          </w:tcPr>
          <w:p w14:paraId="754C24C7" w14:textId="56C5E53E" w:rsidR="00056FF0" w:rsidRPr="00FD1545" w:rsidRDefault="005C3836" w:rsidP="001808DC">
            <w:pPr>
              <w:spacing w:line="360" w:lineRule="auto"/>
            </w:pPr>
            <w:r w:rsidRPr="00FD1545">
              <w:rPr>
                <w:rFonts w:eastAsia="Calibri" w:cs="Times New Roman"/>
                <w:color w:val="7D7E7F"/>
                <w:sz w:val="16"/>
                <w:lang w:eastAsia="en-US"/>
              </w:rPr>
              <w:fldChar w:fldCharType="begin">
                <w:ffData>
                  <w:name w:val=""/>
                  <w:enabled/>
                  <w:calcOnExit w:val="0"/>
                  <w:checkBox>
                    <w:size w:val="20"/>
                    <w:default w:val="1"/>
                  </w:checkBox>
                </w:ffData>
              </w:fldChar>
            </w:r>
            <w:r w:rsidRPr="00FD1545">
              <w:rPr>
                <w:rFonts w:eastAsia="Calibri" w:cs="Times New Roman"/>
                <w:color w:val="7D7E7F"/>
                <w:sz w:val="16"/>
                <w:lang w:eastAsia="en-US"/>
              </w:rPr>
              <w:instrText xml:space="preserve"> FORMCHECKBOX </w:instrText>
            </w:r>
            <w:r w:rsidRPr="00FD1545">
              <w:rPr>
                <w:rFonts w:eastAsia="Calibri" w:cs="Times New Roman"/>
                <w:color w:val="7D7E7F"/>
                <w:sz w:val="16"/>
                <w:lang w:eastAsia="en-US"/>
              </w:rPr>
            </w:r>
            <w:r w:rsidRPr="00FD1545">
              <w:rPr>
                <w:rFonts w:eastAsia="Calibri" w:cs="Times New Roman"/>
                <w:color w:val="7D7E7F"/>
                <w:sz w:val="16"/>
                <w:lang w:eastAsia="en-US"/>
              </w:rPr>
              <w:fldChar w:fldCharType="separate"/>
            </w:r>
            <w:r w:rsidRPr="00FD1545">
              <w:rPr>
                <w:rFonts w:eastAsia="Calibri" w:cs="Times New Roman"/>
                <w:color w:val="7D7E7F"/>
                <w:sz w:val="16"/>
                <w:lang w:eastAsia="en-US"/>
              </w:rPr>
              <w:fldChar w:fldCharType="end"/>
            </w:r>
            <w:r w:rsidR="00056FF0" w:rsidRPr="00FD1545">
              <w:rPr>
                <w:szCs w:val="18"/>
              </w:rPr>
              <w:t xml:space="preserve"> </w:t>
            </w:r>
            <w:r w:rsidR="00D76DCA">
              <w:rPr>
                <w:szCs w:val="18"/>
              </w:rPr>
              <w:t>C</w:t>
            </w:r>
            <w:r w:rsidR="00056FF0" w:rsidRPr="00FD1545">
              <w:t>ourt terme</w:t>
            </w:r>
          </w:p>
        </w:tc>
        <w:tc>
          <w:tcPr>
            <w:tcW w:w="2407" w:type="dxa"/>
            <w:tcBorders>
              <w:top w:val="single" w:sz="4" w:space="0" w:color="auto"/>
              <w:bottom w:val="single" w:sz="4" w:space="0" w:color="auto"/>
            </w:tcBorders>
          </w:tcPr>
          <w:p w14:paraId="052BCA7A" w14:textId="3B77B16A" w:rsidR="00056FF0" w:rsidRPr="00FD1545" w:rsidRDefault="001D23B4" w:rsidP="001808DC">
            <w:pPr>
              <w:spacing w:line="360" w:lineRule="auto"/>
            </w:pPr>
            <w:r w:rsidRPr="00FD1545">
              <w:rPr>
                <w:rFonts w:eastAsia="Calibri" w:cs="Times New Roman"/>
                <w:color w:val="7D7E7F"/>
                <w:sz w:val="16"/>
                <w:lang w:eastAsia="en-US"/>
              </w:rPr>
              <w:fldChar w:fldCharType="begin">
                <w:ffData>
                  <w:name w:val=""/>
                  <w:enabled/>
                  <w:calcOnExit w:val="0"/>
                  <w:checkBox>
                    <w:size w:val="20"/>
                    <w:default w:val="1"/>
                  </w:checkBox>
                </w:ffData>
              </w:fldChar>
            </w:r>
            <w:r w:rsidRPr="00FD1545">
              <w:rPr>
                <w:rFonts w:eastAsia="Calibri" w:cs="Times New Roman"/>
                <w:color w:val="7D7E7F"/>
                <w:sz w:val="16"/>
                <w:lang w:eastAsia="en-US"/>
              </w:rPr>
              <w:instrText xml:space="preserve"> FORMCHECKBOX </w:instrText>
            </w:r>
            <w:r w:rsidRPr="00FD1545">
              <w:rPr>
                <w:rFonts w:eastAsia="Calibri" w:cs="Times New Roman"/>
                <w:color w:val="7D7E7F"/>
                <w:sz w:val="16"/>
                <w:lang w:eastAsia="en-US"/>
              </w:rPr>
            </w:r>
            <w:r w:rsidRPr="00FD1545">
              <w:rPr>
                <w:rFonts w:eastAsia="Calibri" w:cs="Times New Roman"/>
                <w:color w:val="7D7E7F"/>
                <w:sz w:val="16"/>
                <w:lang w:eastAsia="en-US"/>
              </w:rPr>
              <w:fldChar w:fldCharType="separate"/>
            </w:r>
            <w:r w:rsidRPr="00FD1545">
              <w:rPr>
                <w:rFonts w:eastAsia="Calibri" w:cs="Times New Roman"/>
                <w:color w:val="7D7E7F"/>
                <w:sz w:val="16"/>
                <w:lang w:eastAsia="en-US"/>
              </w:rPr>
              <w:fldChar w:fldCharType="end"/>
            </w:r>
            <w:r w:rsidR="00056FF0" w:rsidRPr="00FD1545">
              <w:t xml:space="preserve"> </w:t>
            </w:r>
            <w:r w:rsidR="00D76DCA" w:rsidRPr="00FD1545">
              <w:t>Moyen</w:t>
            </w:r>
            <w:r w:rsidR="005C3836" w:rsidRPr="00FD1545">
              <w:t xml:space="preserve"> </w:t>
            </w:r>
            <w:r w:rsidR="00056FF0" w:rsidRPr="00FD1545">
              <w:t>terme</w:t>
            </w:r>
          </w:p>
        </w:tc>
        <w:tc>
          <w:tcPr>
            <w:tcW w:w="1918" w:type="dxa"/>
            <w:tcBorders>
              <w:top w:val="single" w:sz="4" w:space="0" w:color="auto"/>
              <w:bottom w:val="single" w:sz="4" w:space="0" w:color="auto"/>
              <w:right w:val="single" w:sz="8" w:space="0" w:color="auto"/>
            </w:tcBorders>
          </w:tcPr>
          <w:p w14:paraId="275D765A" w14:textId="55147E3F" w:rsidR="00056FF0" w:rsidRPr="00FD1545" w:rsidRDefault="001D23B4" w:rsidP="001808DC">
            <w:pPr>
              <w:spacing w:line="360" w:lineRule="auto"/>
              <w:ind w:left="80" w:hanging="80"/>
            </w:pPr>
            <w:r w:rsidRPr="00FD1545">
              <w:rPr>
                <w:rFonts w:eastAsia="Calibri" w:cs="Times New Roman"/>
                <w:color w:val="7D7E7F"/>
                <w:sz w:val="16"/>
                <w:lang w:eastAsia="en-US"/>
              </w:rPr>
              <w:fldChar w:fldCharType="begin">
                <w:ffData>
                  <w:name w:val=""/>
                  <w:enabled/>
                  <w:calcOnExit w:val="0"/>
                  <w:checkBox>
                    <w:size w:val="20"/>
                    <w:default w:val="1"/>
                  </w:checkBox>
                </w:ffData>
              </w:fldChar>
            </w:r>
            <w:r w:rsidRPr="00FD1545">
              <w:rPr>
                <w:rFonts w:eastAsia="Calibri" w:cs="Times New Roman"/>
                <w:color w:val="7D7E7F"/>
                <w:sz w:val="16"/>
                <w:lang w:eastAsia="en-US"/>
              </w:rPr>
              <w:instrText xml:space="preserve"> FORMCHECKBOX </w:instrText>
            </w:r>
            <w:r w:rsidRPr="00FD1545">
              <w:rPr>
                <w:rFonts w:eastAsia="Calibri" w:cs="Times New Roman"/>
                <w:color w:val="7D7E7F"/>
                <w:sz w:val="16"/>
                <w:lang w:eastAsia="en-US"/>
              </w:rPr>
            </w:r>
            <w:r w:rsidRPr="00FD1545">
              <w:rPr>
                <w:rFonts w:eastAsia="Calibri" w:cs="Times New Roman"/>
                <w:color w:val="7D7E7F"/>
                <w:sz w:val="16"/>
                <w:lang w:eastAsia="en-US"/>
              </w:rPr>
              <w:fldChar w:fldCharType="separate"/>
            </w:r>
            <w:r w:rsidRPr="00FD1545">
              <w:rPr>
                <w:rFonts w:eastAsia="Calibri" w:cs="Times New Roman"/>
                <w:color w:val="7D7E7F"/>
                <w:sz w:val="16"/>
                <w:lang w:eastAsia="en-US"/>
              </w:rPr>
              <w:fldChar w:fldCharType="end"/>
            </w:r>
            <w:r w:rsidR="00421C67" w:rsidRPr="00FD1545">
              <w:rPr>
                <w:rFonts w:eastAsia="Calibri" w:cs="Times New Roman"/>
                <w:color w:val="7D7E7F"/>
                <w:szCs w:val="22"/>
                <w:lang w:eastAsia="en-US"/>
              </w:rPr>
              <w:t xml:space="preserve"> </w:t>
            </w:r>
            <w:r w:rsidR="00D76DCA" w:rsidRPr="00FD1545">
              <w:t>Long</w:t>
            </w:r>
            <w:r w:rsidR="00056FF0" w:rsidRPr="00FD1545">
              <w:t xml:space="preserve"> terme</w:t>
            </w:r>
          </w:p>
        </w:tc>
      </w:tr>
      <w:tr w:rsidR="00C541C0" w:rsidRPr="00FD1545" w14:paraId="6FA0D6D4" w14:textId="77777777" w:rsidTr="00450271">
        <w:trPr>
          <w:trHeight w:val="283"/>
        </w:trPr>
        <w:tc>
          <w:tcPr>
            <w:tcW w:w="4978" w:type="dxa"/>
            <w:gridSpan w:val="2"/>
            <w:tcBorders>
              <w:top w:val="single" w:sz="4" w:space="0" w:color="auto"/>
              <w:bottom w:val="dotted" w:sz="4" w:space="0" w:color="auto"/>
            </w:tcBorders>
          </w:tcPr>
          <w:p w14:paraId="0ED2B4F1" w14:textId="3C4B2E1B" w:rsidR="00C541C0" w:rsidRPr="00FD1545" w:rsidRDefault="005F2979" w:rsidP="001808DC">
            <w:pPr>
              <w:spacing w:line="360" w:lineRule="auto"/>
              <w:rPr>
                <w:b/>
                <w:bCs/>
              </w:rPr>
            </w:pPr>
            <w:r w:rsidRPr="00FD1545">
              <w:rPr>
                <w:b/>
                <w:bCs/>
              </w:rPr>
              <w:t>Coût et financ</w:t>
            </w:r>
            <w:r w:rsidR="00C541C0" w:rsidRPr="00FD1545">
              <w:rPr>
                <w:b/>
                <w:bCs/>
              </w:rPr>
              <w:t>ement</w:t>
            </w:r>
            <w:r w:rsidR="00717BF8" w:rsidRPr="00FD1545">
              <w:rPr>
                <w:b/>
                <w:bCs/>
              </w:rPr>
              <w:t xml:space="preserve"> </w:t>
            </w:r>
            <w:r w:rsidR="00717BF8" w:rsidRPr="00FD1545">
              <w:t>(en € H.T.)</w:t>
            </w:r>
          </w:p>
        </w:tc>
        <w:tc>
          <w:tcPr>
            <w:tcW w:w="4325" w:type="dxa"/>
            <w:gridSpan w:val="2"/>
            <w:tcBorders>
              <w:top w:val="single" w:sz="4" w:space="0" w:color="auto"/>
              <w:bottom w:val="dotted" w:sz="4" w:space="0" w:color="auto"/>
            </w:tcBorders>
          </w:tcPr>
          <w:p w14:paraId="3B5965BD" w14:textId="7E550F53" w:rsidR="003B786E" w:rsidRPr="00FD1545" w:rsidRDefault="00C541C0" w:rsidP="00812FF4">
            <w:pPr>
              <w:spacing w:line="360" w:lineRule="auto"/>
              <w:jc w:val="left"/>
            </w:pPr>
            <w:r w:rsidRPr="00FD1545">
              <w:rPr>
                <w:szCs w:val="18"/>
              </w:rPr>
              <w:t>Coût</w:t>
            </w:r>
            <w:r w:rsidR="004C71B6" w:rsidRPr="00FD1545">
              <w:rPr>
                <w:szCs w:val="18"/>
              </w:rPr>
              <w:t>s</w:t>
            </w:r>
            <w:r w:rsidRPr="00FD1545">
              <w:rPr>
                <w:szCs w:val="18"/>
              </w:rPr>
              <w:t> :</w:t>
            </w:r>
            <w:r w:rsidR="00717BF8" w:rsidRPr="00FD1545">
              <w:rPr>
                <w:szCs w:val="18"/>
              </w:rPr>
              <w:t xml:space="preserve"> </w:t>
            </w:r>
            <w:r w:rsidR="000B06B1">
              <w:rPr>
                <w:szCs w:val="18"/>
              </w:rPr>
              <w:t>plus de 3 million</w:t>
            </w:r>
            <w:r w:rsidR="0097365F">
              <w:rPr>
                <w:szCs w:val="18"/>
              </w:rPr>
              <w:t>s</w:t>
            </w:r>
            <w:r w:rsidR="000B06B1">
              <w:rPr>
                <w:szCs w:val="18"/>
              </w:rPr>
              <w:t xml:space="preserve"> d’</w:t>
            </w:r>
            <w:r w:rsidR="0097365F">
              <w:rPr>
                <w:szCs w:val="18"/>
              </w:rPr>
              <w:t>euros</w:t>
            </w:r>
            <w:r w:rsidR="000B06B1">
              <w:rPr>
                <w:szCs w:val="18"/>
              </w:rPr>
              <w:t xml:space="preserve"> (HT)</w:t>
            </w:r>
          </w:p>
        </w:tc>
      </w:tr>
      <w:tr w:rsidR="00C541C0" w:rsidRPr="00FD1545" w14:paraId="3CB21209" w14:textId="77777777" w:rsidTr="00997FBD">
        <w:tc>
          <w:tcPr>
            <w:tcW w:w="9303" w:type="dxa"/>
            <w:gridSpan w:val="4"/>
            <w:tcBorders>
              <w:top w:val="dotted" w:sz="4" w:space="0" w:color="auto"/>
              <w:left w:val="single" w:sz="8" w:space="0" w:color="auto"/>
              <w:bottom w:val="single" w:sz="8" w:space="0" w:color="auto"/>
              <w:right w:val="single" w:sz="8" w:space="0" w:color="auto"/>
            </w:tcBorders>
          </w:tcPr>
          <w:p w14:paraId="78A8910E" w14:textId="470E1EDA" w:rsidR="003B786E" w:rsidRPr="004A3922" w:rsidRDefault="004A3922" w:rsidP="00BF5628">
            <w:pPr>
              <w:spacing w:after="0" w:line="360" w:lineRule="auto"/>
              <w:rPr>
                <w:szCs w:val="18"/>
              </w:rPr>
            </w:pPr>
            <w:r w:rsidRPr="004A3922">
              <w:rPr>
                <w:szCs w:val="18"/>
              </w:rPr>
              <w:t>Financements potentiellement mobilisables</w:t>
            </w:r>
          </w:p>
          <w:p w14:paraId="3867251A" w14:textId="3B6918DC" w:rsidR="007A4853" w:rsidRPr="008D7C42" w:rsidRDefault="007A4853" w:rsidP="008D7C42">
            <w:pPr>
              <w:numPr>
                <w:ilvl w:val="0"/>
                <w:numId w:val="6"/>
              </w:numPr>
              <w:spacing w:after="0" w:line="360" w:lineRule="auto"/>
              <w:ind w:left="284" w:hanging="284"/>
              <w:rPr>
                <w:szCs w:val="18"/>
              </w:rPr>
            </w:pPr>
            <w:r w:rsidRPr="008D7C42">
              <w:rPr>
                <w:szCs w:val="18"/>
              </w:rPr>
              <w:t>Fonds propres Département</w:t>
            </w:r>
            <w:r w:rsidR="004A3922">
              <w:rPr>
                <w:szCs w:val="18"/>
              </w:rPr>
              <w:t>.</w:t>
            </w:r>
          </w:p>
          <w:p w14:paraId="0C232E40" w14:textId="19045224" w:rsidR="007A4853" w:rsidRPr="00FD1545" w:rsidRDefault="007A4853" w:rsidP="008D7C42">
            <w:pPr>
              <w:numPr>
                <w:ilvl w:val="0"/>
                <w:numId w:val="6"/>
              </w:numPr>
              <w:spacing w:after="0" w:line="360" w:lineRule="auto"/>
              <w:ind w:left="284" w:hanging="284"/>
            </w:pPr>
            <w:r w:rsidRPr="008D7C42">
              <w:rPr>
                <w:szCs w:val="18"/>
              </w:rPr>
              <w:t>Fonds FEADER (mesure « Infrastructures dans le domaine hydraulique »)</w:t>
            </w:r>
            <w:r w:rsidR="00275007" w:rsidRPr="008D7C42">
              <w:rPr>
                <w:szCs w:val="18"/>
              </w:rPr>
              <w:t>.</w:t>
            </w:r>
          </w:p>
        </w:tc>
      </w:tr>
      <w:tr w:rsidR="00653C12" w:rsidRPr="00FD1545" w14:paraId="0008E373" w14:textId="77777777" w:rsidTr="00997FBD">
        <w:tc>
          <w:tcPr>
            <w:tcW w:w="9303" w:type="dxa"/>
            <w:gridSpan w:val="4"/>
            <w:tcBorders>
              <w:top w:val="single" w:sz="8" w:space="0" w:color="auto"/>
              <w:bottom w:val="single" w:sz="8" w:space="0" w:color="auto"/>
            </w:tcBorders>
          </w:tcPr>
          <w:p w14:paraId="4B581AC1" w14:textId="5971A73B" w:rsidR="00653C12" w:rsidRDefault="0052578F" w:rsidP="000A3474">
            <w:pPr>
              <w:spacing w:line="360" w:lineRule="auto"/>
              <w:rPr>
                <w:b/>
                <w:bCs/>
                <w:szCs w:val="18"/>
              </w:rPr>
            </w:pPr>
            <w:r w:rsidRPr="00BF5628">
              <w:rPr>
                <w:b/>
                <w:bCs/>
                <w:szCs w:val="18"/>
              </w:rPr>
              <w:t>Indicateurs de suivi et d’évaluation</w:t>
            </w:r>
          </w:p>
          <w:p w14:paraId="77444AF5" w14:textId="36F6B517" w:rsidR="00D23ECF" w:rsidRPr="00BF5628" w:rsidRDefault="005E7B80" w:rsidP="000A3474">
            <w:pPr>
              <w:spacing w:line="360" w:lineRule="auto"/>
              <w:rPr>
                <w:b/>
                <w:bCs/>
                <w:szCs w:val="18"/>
              </w:rPr>
            </w:pPr>
            <w:r>
              <w:rPr>
                <w:b/>
                <w:bCs/>
                <w:noProof/>
                <w:szCs w:val="18"/>
              </w:rPr>
              <w:drawing>
                <wp:inline distT="0" distB="0" distL="0" distR="0" wp14:anchorId="4AE563F3" wp14:editId="318E0D58">
                  <wp:extent cx="5760000" cy="2624400"/>
                  <wp:effectExtent l="0" t="0" r="0" b="5080"/>
                  <wp:docPr id="9039544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00" cy="2624400"/>
                          </a:xfrm>
                          <a:prstGeom prst="rect">
                            <a:avLst/>
                          </a:prstGeom>
                          <a:noFill/>
                        </pic:spPr>
                      </pic:pic>
                    </a:graphicData>
                  </a:graphic>
                </wp:inline>
              </w:drawing>
            </w:r>
          </w:p>
          <w:p w14:paraId="32FDD9C5" w14:textId="3E386437" w:rsidR="007E3FD0" w:rsidRPr="00C60E67" w:rsidRDefault="003F44EE" w:rsidP="00997FBD">
            <w:pPr>
              <w:spacing w:after="0" w:line="360" w:lineRule="auto"/>
              <w:ind w:left="67"/>
              <w:rPr>
                <w:szCs w:val="18"/>
                <w:u w:val="single"/>
              </w:rPr>
            </w:pPr>
            <w:r w:rsidRPr="00C60E67">
              <w:rPr>
                <w:szCs w:val="18"/>
                <w:u w:val="single"/>
              </w:rPr>
              <w:lastRenderedPageBreak/>
              <w:t>Etat d’avancement des actions opérationnelles envisagées</w:t>
            </w:r>
            <w:r w:rsidR="002643F5" w:rsidRPr="00C60E67">
              <w:rPr>
                <w:szCs w:val="18"/>
                <w:u w:val="single"/>
              </w:rPr>
              <w:t xml:space="preserve"> à </w:t>
            </w:r>
            <w:r w:rsidR="00E40804" w:rsidRPr="00C60E67">
              <w:rPr>
                <w:szCs w:val="18"/>
                <w:u w:val="single"/>
              </w:rPr>
              <w:t>réaliser ou réalisé</w:t>
            </w:r>
            <w:r w:rsidR="00D24AF8" w:rsidRPr="00C60E67">
              <w:rPr>
                <w:szCs w:val="18"/>
                <w:u w:val="single"/>
              </w:rPr>
              <w:t>e</w:t>
            </w:r>
            <w:r w:rsidR="00DB0FD9" w:rsidRPr="00C60E67">
              <w:rPr>
                <w:szCs w:val="18"/>
                <w:u w:val="single"/>
              </w:rPr>
              <w:t> :</w:t>
            </w:r>
          </w:p>
          <w:p w14:paraId="7B2388DE" w14:textId="6590FD38" w:rsidR="00C60E67" w:rsidRPr="00C60E67" w:rsidRDefault="00C60E67" w:rsidP="00C60E67">
            <w:pPr>
              <w:spacing w:after="0" w:line="360" w:lineRule="auto"/>
              <w:ind w:left="209"/>
              <w:rPr>
                <w:szCs w:val="18"/>
              </w:rPr>
            </w:pPr>
            <w:r w:rsidRPr="00C60E67">
              <w:rPr>
                <w:szCs w:val="18"/>
              </w:rPr>
              <w:t>La répartition prévisionnelle des marchés à passer dans le cadre de l’opération est la suivante</w:t>
            </w:r>
            <w:r>
              <w:rPr>
                <w:szCs w:val="18"/>
              </w:rPr>
              <w:t> :</w:t>
            </w:r>
          </w:p>
          <w:p w14:paraId="1D46A596" w14:textId="2AFD09EE"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 xml:space="preserve">Une consultation pour la Mission de maîtrise d'œuvre y compris l’Etablissement et suivi des dossiers réglementaires et administratifs (MC1), ingénierie géotechnique G2 – AVP / PRO (MC2) (réalisée), </w:t>
            </w:r>
          </w:p>
          <w:p w14:paraId="3A4B2590" w14:textId="1C96A83B"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la mission d’opérateur foncier (réalisée),</w:t>
            </w:r>
          </w:p>
          <w:p w14:paraId="6FECD662" w14:textId="2B7447ED"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la mission de géomètre-expert (en cours d’attribution),</w:t>
            </w:r>
          </w:p>
          <w:p w14:paraId="6BE95BF8" w14:textId="17CEC1CE"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la Coordination en matière de Sécurité et Protection de la Santé (réalisé),</w:t>
            </w:r>
          </w:p>
          <w:p w14:paraId="727A285C" w14:textId="5A0B0473"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les prestations de contrôle technique (en cours de validation responsable cellule),</w:t>
            </w:r>
          </w:p>
          <w:p w14:paraId="536B4795" w14:textId="41538FD3"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l’expertise environnementale (diagnostic faune/flore et suivi des travaux) (relance suite marché infructueux),</w:t>
            </w:r>
          </w:p>
          <w:p w14:paraId="55A60A33" w14:textId="3DEFAD58"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les prestations topographiques (relance suite marché infructueux),</w:t>
            </w:r>
          </w:p>
          <w:p w14:paraId="5DE23605" w14:textId="79C79AE2"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les prestations géotechniques (relance suite marché infructueux),</w:t>
            </w:r>
          </w:p>
          <w:p w14:paraId="4A3F4272" w14:textId="4EEAA430"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une inspection télévisée et diagnostic amiante (en cours de validation responsable cellule)</w:t>
            </w:r>
          </w:p>
          <w:p w14:paraId="77E4E714" w14:textId="7986AA7F"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les Travaux (plusieurs lots) (prévision 11/2026)</w:t>
            </w:r>
          </w:p>
          <w:p w14:paraId="2381D80A" w14:textId="5FA3A5F5" w:rsidR="00C60E67" w:rsidRPr="00FA5F49" w:rsidRDefault="00C60E67" w:rsidP="00FA5F49">
            <w:pPr>
              <w:pStyle w:val="Paragraphedeliste"/>
              <w:numPr>
                <w:ilvl w:val="0"/>
                <w:numId w:val="10"/>
              </w:numPr>
              <w:spacing w:after="0" w:line="360" w:lineRule="auto"/>
              <w:ind w:left="485" w:hanging="283"/>
              <w:rPr>
                <w:szCs w:val="18"/>
              </w:rPr>
            </w:pPr>
            <w:r w:rsidRPr="00FA5F49">
              <w:rPr>
                <w:szCs w:val="18"/>
              </w:rPr>
              <w:t xml:space="preserve">La consultation des concessionnaires pour les raccordements électriques et télécom des ouvrages </w:t>
            </w:r>
          </w:p>
          <w:p w14:paraId="50CA681C" w14:textId="60093185" w:rsidR="00DB0FD9" w:rsidRPr="00FA5F49" w:rsidRDefault="00C60E67" w:rsidP="00FA5F49">
            <w:pPr>
              <w:pStyle w:val="Paragraphedeliste"/>
              <w:numPr>
                <w:ilvl w:val="0"/>
                <w:numId w:val="10"/>
              </w:numPr>
              <w:spacing w:after="0" w:line="360" w:lineRule="auto"/>
              <w:ind w:left="485" w:hanging="283"/>
              <w:rPr>
                <w:szCs w:val="18"/>
              </w:rPr>
            </w:pPr>
            <w:r w:rsidRPr="00FA5F49">
              <w:rPr>
                <w:szCs w:val="18"/>
              </w:rPr>
              <w:t>Une consultation pour l’édition – reprographie de dossiers techniques</w:t>
            </w:r>
          </w:p>
        </w:tc>
      </w:tr>
    </w:tbl>
    <w:p w14:paraId="0AFC8CF2" w14:textId="10CA6B18" w:rsidR="004158CA" w:rsidRPr="004158CA" w:rsidRDefault="004158CA" w:rsidP="004158CA">
      <w:pPr>
        <w:tabs>
          <w:tab w:val="left" w:pos="1695"/>
        </w:tabs>
      </w:pPr>
    </w:p>
    <w:sectPr w:rsidR="004158CA" w:rsidRPr="004158CA" w:rsidSect="00923E7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AE20" w14:textId="77777777" w:rsidR="006A7D14" w:rsidRDefault="006A7D14">
      <w:r>
        <w:separator/>
      </w:r>
    </w:p>
  </w:endnote>
  <w:endnote w:type="continuationSeparator" w:id="0">
    <w:p w14:paraId="26ED2693" w14:textId="77777777" w:rsidR="006A7D14" w:rsidRDefault="006A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Century Gothic"/>
    <w:charset w:val="00"/>
    <w:family w:val="swiss"/>
    <w:pitch w:val="variable"/>
    <w:sig w:usb0="00000007" w:usb1="00000000" w:usb2="00000000" w:usb3="00000000" w:csb0="00000011" w:csb1="00000000"/>
  </w:font>
  <w:font w:name="Comic Sans MS">
    <w:panose1 w:val="030F0702030302020204"/>
    <w:charset w:val="00"/>
    <w:family w:val="script"/>
    <w:pitch w:val="variable"/>
    <w:sig w:usb0="00000687" w:usb1="00000013" w:usb2="00000000" w:usb3="00000000" w:csb0="0000009F" w:csb1="00000000"/>
  </w:font>
  <w:font w:name="Mistral">
    <w:panose1 w:val="03090702030407020403"/>
    <w:charset w:val="00"/>
    <w:family w:val="script"/>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2012" w14:textId="77777777" w:rsidR="00733408" w:rsidRDefault="007334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733" w14:textId="57B63945" w:rsidR="00CA6894" w:rsidRPr="00CB02D9" w:rsidRDefault="00CB02D9" w:rsidP="00CB02D9">
    <w:pPr>
      <w:pStyle w:val="Pieddepage"/>
      <w:pBdr>
        <w:top w:val="single" w:sz="4" w:space="1" w:color="auto"/>
      </w:pBdr>
      <w:rPr>
        <w:i/>
        <w:iCs/>
      </w:rPr>
    </w:pPr>
    <w:r w:rsidRPr="00CB02D9">
      <w:rPr>
        <w:i/>
        <w:iCs/>
      </w:rPr>
      <w:fldChar w:fldCharType="begin"/>
    </w:r>
    <w:r w:rsidRPr="00CB02D9">
      <w:rPr>
        <w:i/>
        <w:iCs/>
      </w:rPr>
      <w:instrText xml:space="preserve"> FILENAME   \* MERGEFORMAT </w:instrText>
    </w:r>
    <w:r w:rsidRPr="00CB02D9">
      <w:rPr>
        <w:i/>
        <w:iCs/>
      </w:rPr>
      <w:fldChar w:fldCharType="separate"/>
    </w:r>
    <w:r w:rsidR="00733408">
      <w:rPr>
        <w:i/>
        <w:iCs/>
        <w:noProof/>
      </w:rPr>
      <w:t>Fiche action 1a - Garantir les investissements irrigation_260301.docx</w:t>
    </w:r>
    <w:r w:rsidRPr="00CB02D9">
      <w:rP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AF51" w14:textId="77777777" w:rsidR="00733408" w:rsidRDefault="007334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6E11" w14:textId="77777777" w:rsidR="006A7D14" w:rsidRDefault="006A7D14">
      <w:r>
        <w:separator/>
      </w:r>
    </w:p>
  </w:footnote>
  <w:footnote w:type="continuationSeparator" w:id="0">
    <w:p w14:paraId="23D2A76C" w14:textId="77777777" w:rsidR="006A7D14" w:rsidRDefault="006A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339A" w14:textId="77777777" w:rsidR="00733408" w:rsidRDefault="007334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E206" w14:textId="440BDA44" w:rsidR="000852E0" w:rsidRPr="00CB02D9" w:rsidRDefault="000852E0" w:rsidP="00056FF0">
    <w:pPr>
      <w:pStyle w:val="Pieddepage"/>
      <w:pBdr>
        <w:top w:val="single" w:sz="4" w:space="1" w:color="auto"/>
      </w:pBdr>
      <w:tabs>
        <w:tab w:val="clear" w:pos="9072"/>
        <w:tab w:val="right" w:pos="9180"/>
      </w:tabs>
      <w:jc w:val="left"/>
      <w:rPr>
        <w:color w:val="7D7E7F"/>
      </w:rPr>
    </w:pPr>
    <w:r w:rsidRPr="00CB02D9">
      <w:rPr>
        <w:b/>
        <w:i/>
        <w:color w:val="7D7E7F"/>
      </w:rPr>
      <w:t>Plan d</w:t>
    </w:r>
    <w:r w:rsidR="00CA6894" w:rsidRPr="00CB02D9">
      <w:rPr>
        <w:b/>
        <w:i/>
        <w:color w:val="7D7E7F"/>
      </w:rPr>
      <w:t xml:space="preserve">’actions </w:t>
    </w:r>
    <w:r w:rsidRPr="00CB02D9">
      <w:rPr>
        <w:b/>
        <w:i/>
        <w:color w:val="7D7E7F"/>
      </w:rPr>
      <w:t xml:space="preserve">du PAEN </w:t>
    </w:r>
    <w:r w:rsidR="00CA6894" w:rsidRPr="00CB02D9">
      <w:rPr>
        <w:b/>
        <w:i/>
        <w:color w:val="7D7E7F"/>
      </w:rPr>
      <w:t xml:space="preserve">de </w:t>
    </w:r>
    <w:r w:rsidR="009914A2">
      <w:rPr>
        <w:b/>
        <w:i/>
        <w:color w:val="7D7E7F"/>
      </w:rPr>
      <w:t>La Possession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F9AE" w14:textId="77777777" w:rsidR="00733408" w:rsidRDefault="007334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6DCF"/>
    <w:multiLevelType w:val="hybridMultilevel"/>
    <w:tmpl w:val="89C6060C"/>
    <w:lvl w:ilvl="0" w:tplc="27485C2C">
      <w:start w:val="30"/>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414CEE"/>
    <w:multiLevelType w:val="hybridMultilevel"/>
    <w:tmpl w:val="ABDEFD18"/>
    <w:lvl w:ilvl="0" w:tplc="4B988F80">
      <w:start w:val="30"/>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80378D"/>
    <w:multiLevelType w:val="hybridMultilevel"/>
    <w:tmpl w:val="D0CE27DC"/>
    <w:lvl w:ilvl="0" w:tplc="4B988F80">
      <w:start w:val="30"/>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D659B3"/>
    <w:multiLevelType w:val="hybridMultilevel"/>
    <w:tmpl w:val="0EF669EA"/>
    <w:lvl w:ilvl="0" w:tplc="24E607A2">
      <w:numFmt w:val="bullet"/>
      <w:lvlText w:val="-"/>
      <w:lvlJc w:val="left"/>
      <w:pPr>
        <w:tabs>
          <w:tab w:val="num" w:pos="720"/>
        </w:tabs>
        <w:ind w:left="720" w:hanging="360"/>
      </w:pPr>
      <w:rPr>
        <w:rFonts w:ascii="Futura Lt BT" w:eastAsia="Times New Roman" w:hAnsi="Futura Lt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D0B80"/>
    <w:multiLevelType w:val="hybridMultilevel"/>
    <w:tmpl w:val="B3624E42"/>
    <w:lvl w:ilvl="0" w:tplc="AE50D7DE">
      <w:start w:val="1"/>
      <w:numFmt w:val="bullet"/>
      <w:lvlText w:val="•"/>
      <w:lvlJc w:val="left"/>
      <w:pPr>
        <w:ind w:left="720" w:hanging="360"/>
      </w:pPr>
      <w:rPr>
        <w:rFonts w:ascii="Arial" w:hAnsi="Arial" w:hint="default"/>
        <w:color w:val="E9571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9D044F"/>
    <w:multiLevelType w:val="hybridMultilevel"/>
    <w:tmpl w:val="EDE4D216"/>
    <w:lvl w:ilvl="0" w:tplc="4B988F80">
      <w:start w:val="30"/>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713A04"/>
    <w:multiLevelType w:val="hybridMultilevel"/>
    <w:tmpl w:val="D5FCD7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425D6"/>
    <w:multiLevelType w:val="hybridMultilevel"/>
    <w:tmpl w:val="9D94DC2C"/>
    <w:lvl w:ilvl="0" w:tplc="73087ECE">
      <w:start w:val="1"/>
      <w:numFmt w:val="upperRoman"/>
      <w:lvlText w:val="%1."/>
      <w:lvlJc w:val="left"/>
      <w:pPr>
        <w:tabs>
          <w:tab w:val="num" w:pos="1647"/>
        </w:tabs>
        <w:ind w:left="1647" w:hanging="1080"/>
      </w:pPr>
      <w:rPr>
        <w:rFonts w:hint="default"/>
      </w:rPr>
    </w:lvl>
    <w:lvl w:ilvl="1" w:tplc="31EC8884">
      <w:start w:val="1"/>
      <w:numFmt w:val="upperLetter"/>
      <w:lvlText w:val="%2."/>
      <w:lvlJc w:val="left"/>
      <w:pPr>
        <w:tabs>
          <w:tab w:val="num" w:pos="1647"/>
        </w:tabs>
        <w:ind w:left="1647" w:hanging="360"/>
      </w:pPr>
      <w:rPr>
        <w:rFonts w:hint="default"/>
        <w:u w:val="none"/>
      </w:rPr>
    </w:lvl>
    <w:lvl w:ilvl="2" w:tplc="CEA4E702">
      <w:start w:val="1"/>
      <w:numFmt w:val="bullet"/>
      <w:lvlText w:val=""/>
      <w:lvlJc w:val="left"/>
      <w:pPr>
        <w:tabs>
          <w:tab w:val="num" w:pos="2547"/>
        </w:tabs>
        <w:ind w:left="2187" w:firstLine="0"/>
      </w:pPr>
      <w:rPr>
        <w:rFonts w:ascii="Symbol" w:hAnsi="Symbol" w:hint="default"/>
      </w:rPr>
    </w:lvl>
    <w:lvl w:ilvl="3" w:tplc="F2D8CDD6" w:tentative="1">
      <w:start w:val="1"/>
      <w:numFmt w:val="decimal"/>
      <w:lvlText w:val="%4."/>
      <w:lvlJc w:val="left"/>
      <w:pPr>
        <w:tabs>
          <w:tab w:val="num" w:pos="3087"/>
        </w:tabs>
        <w:ind w:left="3087" w:hanging="360"/>
      </w:pPr>
    </w:lvl>
    <w:lvl w:ilvl="4" w:tplc="2CE4953E" w:tentative="1">
      <w:start w:val="1"/>
      <w:numFmt w:val="lowerLetter"/>
      <w:lvlText w:val="%5."/>
      <w:lvlJc w:val="left"/>
      <w:pPr>
        <w:tabs>
          <w:tab w:val="num" w:pos="3807"/>
        </w:tabs>
        <w:ind w:left="3807" w:hanging="360"/>
      </w:pPr>
    </w:lvl>
    <w:lvl w:ilvl="5" w:tplc="E15AFC2E" w:tentative="1">
      <w:start w:val="1"/>
      <w:numFmt w:val="lowerRoman"/>
      <w:lvlText w:val="%6."/>
      <w:lvlJc w:val="right"/>
      <w:pPr>
        <w:tabs>
          <w:tab w:val="num" w:pos="4527"/>
        </w:tabs>
        <w:ind w:left="4527" w:hanging="180"/>
      </w:pPr>
    </w:lvl>
    <w:lvl w:ilvl="6" w:tplc="078E2782" w:tentative="1">
      <w:start w:val="1"/>
      <w:numFmt w:val="decimal"/>
      <w:lvlText w:val="%7."/>
      <w:lvlJc w:val="left"/>
      <w:pPr>
        <w:tabs>
          <w:tab w:val="num" w:pos="5247"/>
        </w:tabs>
        <w:ind w:left="5247" w:hanging="360"/>
      </w:pPr>
    </w:lvl>
    <w:lvl w:ilvl="7" w:tplc="FC8663B4" w:tentative="1">
      <w:start w:val="1"/>
      <w:numFmt w:val="lowerLetter"/>
      <w:lvlText w:val="%8."/>
      <w:lvlJc w:val="left"/>
      <w:pPr>
        <w:tabs>
          <w:tab w:val="num" w:pos="5967"/>
        </w:tabs>
        <w:ind w:left="5967" w:hanging="360"/>
      </w:pPr>
    </w:lvl>
    <w:lvl w:ilvl="8" w:tplc="85B26AD8" w:tentative="1">
      <w:start w:val="1"/>
      <w:numFmt w:val="lowerRoman"/>
      <w:lvlText w:val="%9."/>
      <w:lvlJc w:val="right"/>
      <w:pPr>
        <w:tabs>
          <w:tab w:val="num" w:pos="6687"/>
        </w:tabs>
        <w:ind w:left="6687" w:hanging="180"/>
      </w:pPr>
    </w:lvl>
  </w:abstractNum>
  <w:abstractNum w:abstractNumId="8" w15:restartNumberingAfterBreak="0">
    <w:nsid w:val="7BC92944"/>
    <w:multiLevelType w:val="hybridMultilevel"/>
    <w:tmpl w:val="B02E5494"/>
    <w:lvl w:ilvl="0" w:tplc="AE50D7DE">
      <w:start w:val="1"/>
      <w:numFmt w:val="bullet"/>
      <w:lvlText w:val="•"/>
      <w:lvlJc w:val="left"/>
      <w:pPr>
        <w:ind w:left="929" w:hanging="360"/>
      </w:pPr>
      <w:rPr>
        <w:rFonts w:ascii="Arial" w:hAnsi="Arial" w:hint="default"/>
        <w:color w:val="E9571C"/>
      </w:rPr>
    </w:lvl>
    <w:lvl w:ilvl="1" w:tplc="040C0003" w:tentative="1">
      <w:start w:val="1"/>
      <w:numFmt w:val="bullet"/>
      <w:lvlText w:val="o"/>
      <w:lvlJc w:val="left"/>
      <w:pPr>
        <w:ind w:left="1649" w:hanging="360"/>
      </w:pPr>
      <w:rPr>
        <w:rFonts w:ascii="Courier New" w:hAnsi="Courier New" w:cs="Courier New" w:hint="default"/>
      </w:rPr>
    </w:lvl>
    <w:lvl w:ilvl="2" w:tplc="040C0005" w:tentative="1">
      <w:start w:val="1"/>
      <w:numFmt w:val="bullet"/>
      <w:lvlText w:val=""/>
      <w:lvlJc w:val="left"/>
      <w:pPr>
        <w:ind w:left="2369" w:hanging="360"/>
      </w:pPr>
      <w:rPr>
        <w:rFonts w:ascii="Wingdings" w:hAnsi="Wingdings" w:hint="default"/>
      </w:rPr>
    </w:lvl>
    <w:lvl w:ilvl="3" w:tplc="040C0001" w:tentative="1">
      <w:start w:val="1"/>
      <w:numFmt w:val="bullet"/>
      <w:lvlText w:val=""/>
      <w:lvlJc w:val="left"/>
      <w:pPr>
        <w:ind w:left="3089" w:hanging="360"/>
      </w:pPr>
      <w:rPr>
        <w:rFonts w:ascii="Symbol" w:hAnsi="Symbol" w:hint="default"/>
      </w:rPr>
    </w:lvl>
    <w:lvl w:ilvl="4" w:tplc="040C0003" w:tentative="1">
      <w:start w:val="1"/>
      <w:numFmt w:val="bullet"/>
      <w:lvlText w:val="o"/>
      <w:lvlJc w:val="left"/>
      <w:pPr>
        <w:ind w:left="3809" w:hanging="360"/>
      </w:pPr>
      <w:rPr>
        <w:rFonts w:ascii="Courier New" w:hAnsi="Courier New" w:cs="Courier New" w:hint="default"/>
      </w:rPr>
    </w:lvl>
    <w:lvl w:ilvl="5" w:tplc="040C0005" w:tentative="1">
      <w:start w:val="1"/>
      <w:numFmt w:val="bullet"/>
      <w:lvlText w:val=""/>
      <w:lvlJc w:val="left"/>
      <w:pPr>
        <w:ind w:left="4529" w:hanging="360"/>
      </w:pPr>
      <w:rPr>
        <w:rFonts w:ascii="Wingdings" w:hAnsi="Wingdings" w:hint="default"/>
      </w:rPr>
    </w:lvl>
    <w:lvl w:ilvl="6" w:tplc="040C0001" w:tentative="1">
      <w:start w:val="1"/>
      <w:numFmt w:val="bullet"/>
      <w:lvlText w:val=""/>
      <w:lvlJc w:val="left"/>
      <w:pPr>
        <w:ind w:left="5249" w:hanging="360"/>
      </w:pPr>
      <w:rPr>
        <w:rFonts w:ascii="Symbol" w:hAnsi="Symbol" w:hint="default"/>
      </w:rPr>
    </w:lvl>
    <w:lvl w:ilvl="7" w:tplc="040C0003" w:tentative="1">
      <w:start w:val="1"/>
      <w:numFmt w:val="bullet"/>
      <w:lvlText w:val="o"/>
      <w:lvlJc w:val="left"/>
      <w:pPr>
        <w:ind w:left="5969" w:hanging="360"/>
      </w:pPr>
      <w:rPr>
        <w:rFonts w:ascii="Courier New" w:hAnsi="Courier New" w:cs="Courier New" w:hint="default"/>
      </w:rPr>
    </w:lvl>
    <w:lvl w:ilvl="8" w:tplc="040C0005" w:tentative="1">
      <w:start w:val="1"/>
      <w:numFmt w:val="bullet"/>
      <w:lvlText w:val=""/>
      <w:lvlJc w:val="left"/>
      <w:pPr>
        <w:ind w:left="6689" w:hanging="360"/>
      </w:pPr>
      <w:rPr>
        <w:rFonts w:ascii="Wingdings" w:hAnsi="Wingdings" w:hint="default"/>
      </w:rPr>
    </w:lvl>
  </w:abstractNum>
  <w:num w:numId="1" w16cid:durableId="2128616217">
    <w:abstractNumId w:val="7"/>
  </w:num>
  <w:num w:numId="2" w16cid:durableId="505823007">
    <w:abstractNumId w:val="7"/>
  </w:num>
  <w:num w:numId="3" w16cid:durableId="1337415499">
    <w:abstractNumId w:val="3"/>
  </w:num>
  <w:num w:numId="4" w16cid:durableId="1931234418">
    <w:abstractNumId w:val="4"/>
  </w:num>
  <w:num w:numId="5" w16cid:durableId="647170093">
    <w:abstractNumId w:val="1"/>
  </w:num>
  <w:num w:numId="6" w16cid:durableId="521016617">
    <w:abstractNumId w:val="0"/>
  </w:num>
  <w:num w:numId="7" w16cid:durableId="1590045863">
    <w:abstractNumId w:val="2"/>
  </w:num>
  <w:num w:numId="8" w16cid:durableId="302077435">
    <w:abstractNumId w:val="5"/>
  </w:num>
  <w:num w:numId="9" w16cid:durableId="1984658989">
    <w:abstractNumId w:val="6"/>
  </w:num>
  <w:num w:numId="10" w16cid:durableId="974606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CA"/>
    <w:rsid w:val="00003BDF"/>
    <w:rsid w:val="00005397"/>
    <w:rsid w:val="00024505"/>
    <w:rsid w:val="00043BD3"/>
    <w:rsid w:val="00056FF0"/>
    <w:rsid w:val="00061CA6"/>
    <w:rsid w:val="00070BA4"/>
    <w:rsid w:val="00072606"/>
    <w:rsid w:val="00073C87"/>
    <w:rsid w:val="000852E0"/>
    <w:rsid w:val="000857F4"/>
    <w:rsid w:val="00085C2C"/>
    <w:rsid w:val="00097BD4"/>
    <w:rsid w:val="00097D05"/>
    <w:rsid w:val="000A3474"/>
    <w:rsid w:val="000A55E9"/>
    <w:rsid w:val="000A5C26"/>
    <w:rsid w:val="000A774B"/>
    <w:rsid w:val="000B06B1"/>
    <w:rsid w:val="000E370C"/>
    <w:rsid w:val="000E6CAC"/>
    <w:rsid w:val="0011244A"/>
    <w:rsid w:val="00141B93"/>
    <w:rsid w:val="00170D05"/>
    <w:rsid w:val="00173737"/>
    <w:rsid w:val="001808DC"/>
    <w:rsid w:val="001874A0"/>
    <w:rsid w:val="001A79D2"/>
    <w:rsid w:val="001B62F1"/>
    <w:rsid w:val="001B6D35"/>
    <w:rsid w:val="001C2028"/>
    <w:rsid w:val="001D20B0"/>
    <w:rsid w:val="001D23B4"/>
    <w:rsid w:val="002121E8"/>
    <w:rsid w:val="00226AD0"/>
    <w:rsid w:val="002316F3"/>
    <w:rsid w:val="00232C90"/>
    <w:rsid w:val="00235BB3"/>
    <w:rsid w:val="00242EF2"/>
    <w:rsid w:val="0025759B"/>
    <w:rsid w:val="00260DE9"/>
    <w:rsid w:val="002643F5"/>
    <w:rsid w:val="00265C7E"/>
    <w:rsid w:val="0027171B"/>
    <w:rsid w:val="00275007"/>
    <w:rsid w:val="00281A1D"/>
    <w:rsid w:val="00287DA5"/>
    <w:rsid w:val="002A7B5C"/>
    <w:rsid w:val="002B1CE6"/>
    <w:rsid w:val="002B2F98"/>
    <w:rsid w:val="002D331E"/>
    <w:rsid w:val="002F0779"/>
    <w:rsid w:val="0030327C"/>
    <w:rsid w:val="0030365F"/>
    <w:rsid w:val="0031038A"/>
    <w:rsid w:val="00312AF6"/>
    <w:rsid w:val="00312DD1"/>
    <w:rsid w:val="00313BC6"/>
    <w:rsid w:val="00387EB8"/>
    <w:rsid w:val="003B4FD0"/>
    <w:rsid w:val="003B786E"/>
    <w:rsid w:val="003C2EEF"/>
    <w:rsid w:val="003C40C4"/>
    <w:rsid w:val="003D3D62"/>
    <w:rsid w:val="003D5ACE"/>
    <w:rsid w:val="003D613C"/>
    <w:rsid w:val="003E26FA"/>
    <w:rsid w:val="003F44EE"/>
    <w:rsid w:val="00407648"/>
    <w:rsid w:val="00410A70"/>
    <w:rsid w:val="004158CA"/>
    <w:rsid w:val="00421C67"/>
    <w:rsid w:val="00431F94"/>
    <w:rsid w:val="00433B86"/>
    <w:rsid w:val="00450271"/>
    <w:rsid w:val="00451D9B"/>
    <w:rsid w:val="00452DF8"/>
    <w:rsid w:val="004613CB"/>
    <w:rsid w:val="00481317"/>
    <w:rsid w:val="004817DA"/>
    <w:rsid w:val="00481C60"/>
    <w:rsid w:val="00486807"/>
    <w:rsid w:val="00491964"/>
    <w:rsid w:val="004A2775"/>
    <w:rsid w:val="004A3922"/>
    <w:rsid w:val="004A468E"/>
    <w:rsid w:val="004B328F"/>
    <w:rsid w:val="004B43E6"/>
    <w:rsid w:val="004B7138"/>
    <w:rsid w:val="004C17EF"/>
    <w:rsid w:val="004C4D20"/>
    <w:rsid w:val="004C71B6"/>
    <w:rsid w:val="004E09D6"/>
    <w:rsid w:val="004E2589"/>
    <w:rsid w:val="004F1FAD"/>
    <w:rsid w:val="005051F4"/>
    <w:rsid w:val="005232D2"/>
    <w:rsid w:val="0052578F"/>
    <w:rsid w:val="00527B4B"/>
    <w:rsid w:val="00543CAF"/>
    <w:rsid w:val="00562A61"/>
    <w:rsid w:val="0056416D"/>
    <w:rsid w:val="0057490B"/>
    <w:rsid w:val="0058511A"/>
    <w:rsid w:val="005C3836"/>
    <w:rsid w:val="005D2D31"/>
    <w:rsid w:val="005E2D68"/>
    <w:rsid w:val="005E49B6"/>
    <w:rsid w:val="005E7B80"/>
    <w:rsid w:val="005F1D0C"/>
    <w:rsid w:val="005F2979"/>
    <w:rsid w:val="006008F9"/>
    <w:rsid w:val="0060262A"/>
    <w:rsid w:val="00603A58"/>
    <w:rsid w:val="006074BE"/>
    <w:rsid w:val="00621553"/>
    <w:rsid w:val="00625B27"/>
    <w:rsid w:val="00653C12"/>
    <w:rsid w:val="0068315B"/>
    <w:rsid w:val="00684564"/>
    <w:rsid w:val="00684B1D"/>
    <w:rsid w:val="00685BD1"/>
    <w:rsid w:val="006A25C3"/>
    <w:rsid w:val="006A7D14"/>
    <w:rsid w:val="006C10E3"/>
    <w:rsid w:val="006C2EA1"/>
    <w:rsid w:val="006E4740"/>
    <w:rsid w:val="006E62FA"/>
    <w:rsid w:val="0070617D"/>
    <w:rsid w:val="00717BF8"/>
    <w:rsid w:val="00733408"/>
    <w:rsid w:val="0074166D"/>
    <w:rsid w:val="0076224A"/>
    <w:rsid w:val="00783287"/>
    <w:rsid w:val="007A2CBF"/>
    <w:rsid w:val="007A4853"/>
    <w:rsid w:val="007B3D05"/>
    <w:rsid w:val="007C346A"/>
    <w:rsid w:val="007C5195"/>
    <w:rsid w:val="007D5438"/>
    <w:rsid w:val="007E268C"/>
    <w:rsid w:val="007E3FD0"/>
    <w:rsid w:val="00812FF4"/>
    <w:rsid w:val="008154E3"/>
    <w:rsid w:val="008178E0"/>
    <w:rsid w:val="008362C3"/>
    <w:rsid w:val="008427ED"/>
    <w:rsid w:val="00853632"/>
    <w:rsid w:val="00861262"/>
    <w:rsid w:val="00883B6A"/>
    <w:rsid w:val="00896180"/>
    <w:rsid w:val="008A6A84"/>
    <w:rsid w:val="008A716D"/>
    <w:rsid w:val="008A7AB8"/>
    <w:rsid w:val="008B425D"/>
    <w:rsid w:val="008C72FA"/>
    <w:rsid w:val="008D3E47"/>
    <w:rsid w:val="008D7C42"/>
    <w:rsid w:val="008E386C"/>
    <w:rsid w:val="0090081E"/>
    <w:rsid w:val="0090262B"/>
    <w:rsid w:val="00904E9E"/>
    <w:rsid w:val="009122C6"/>
    <w:rsid w:val="0092057B"/>
    <w:rsid w:val="009217A4"/>
    <w:rsid w:val="00923E7F"/>
    <w:rsid w:val="00934026"/>
    <w:rsid w:val="00951D6D"/>
    <w:rsid w:val="00953D24"/>
    <w:rsid w:val="0097365F"/>
    <w:rsid w:val="009914A2"/>
    <w:rsid w:val="00997FBD"/>
    <w:rsid w:val="009A7657"/>
    <w:rsid w:val="009B361B"/>
    <w:rsid w:val="009C670F"/>
    <w:rsid w:val="009D5A75"/>
    <w:rsid w:val="009D74A6"/>
    <w:rsid w:val="009E6A9E"/>
    <w:rsid w:val="00A0346E"/>
    <w:rsid w:val="00A058BB"/>
    <w:rsid w:val="00A133BB"/>
    <w:rsid w:val="00A20C64"/>
    <w:rsid w:val="00A21979"/>
    <w:rsid w:val="00A37BB5"/>
    <w:rsid w:val="00A759C7"/>
    <w:rsid w:val="00A92280"/>
    <w:rsid w:val="00A967C9"/>
    <w:rsid w:val="00AB1138"/>
    <w:rsid w:val="00AC2348"/>
    <w:rsid w:val="00AE0361"/>
    <w:rsid w:val="00AE422A"/>
    <w:rsid w:val="00AE47C2"/>
    <w:rsid w:val="00AE64A4"/>
    <w:rsid w:val="00AF35BD"/>
    <w:rsid w:val="00AF66A0"/>
    <w:rsid w:val="00B06709"/>
    <w:rsid w:val="00B102F8"/>
    <w:rsid w:val="00B27E88"/>
    <w:rsid w:val="00B37E90"/>
    <w:rsid w:val="00B42ACF"/>
    <w:rsid w:val="00B60058"/>
    <w:rsid w:val="00B64839"/>
    <w:rsid w:val="00B70D58"/>
    <w:rsid w:val="00B7592A"/>
    <w:rsid w:val="00B765EF"/>
    <w:rsid w:val="00B76BEB"/>
    <w:rsid w:val="00B95D0D"/>
    <w:rsid w:val="00B97165"/>
    <w:rsid w:val="00BF5628"/>
    <w:rsid w:val="00C34F14"/>
    <w:rsid w:val="00C468DB"/>
    <w:rsid w:val="00C47975"/>
    <w:rsid w:val="00C541C0"/>
    <w:rsid w:val="00C60E67"/>
    <w:rsid w:val="00C67A68"/>
    <w:rsid w:val="00C85B4E"/>
    <w:rsid w:val="00CA0F9B"/>
    <w:rsid w:val="00CA6894"/>
    <w:rsid w:val="00CB02D9"/>
    <w:rsid w:val="00CC420F"/>
    <w:rsid w:val="00CD4730"/>
    <w:rsid w:val="00CE59CA"/>
    <w:rsid w:val="00CF1BC0"/>
    <w:rsid w:val="00CF1C90"/>
    <w:rsid w:val="00CF50B8"/>
    <w:rsid w:val="00CF5BEC"/>
    <w:rsid w:val="00D171B8"/>
    <w:rsid w:val="00D23ECF"/>
    <w:rsid w:val="00D24AF8"/>
    <w:rsid w:val="00D26316"/>
    <w:rsid w:val="00D54DBB"/>
    <w:rsid w:val="00D646E3"/>
    <w:rsid w:val="00D64C16"/>
    <w:rsid w:val="00D655E3"/>
    <w:rsid w:val="00D70C85"/>
    <w:rsid w:val="00D72AFD"/>
    <w:rsid w:val="00D76DCA"/>
    <w:rsid w:val="00D86732"/>
    <w:rsid w:val="00D918C2"/>
    <w:rsid w:val="00D93C43"/>
    <w:rsid w:val="00DA2724"/>
    <w:rsid w:val="00DA6068"/>
    <w:rsid w:val="00DB020D"/>
    <w:rsid w:val="00DB0FD9"/>
    <w:rsid w:val="00DB3C8F"/>
    <w:rsid w:val="00DB4394"/>
    <w:rsid w:val="00DC143C"/>
    <w:rsid w:val="00DD0335"/>
    <w:rsid w:val="00DF0F2D"/>
    <w:rsid w:val="00E1552B"/>
    <w:rsid w:val="00E214CA"/>
    <w:rsid w:val="00E22FB9"/>
    <w:rsid w:val="00E25C6C"/>
    <w:rsid w:val="00E270AF"/>
    <w:rsid w:val="00E33051"/>
    <w:rsid w:val="00E40804"/>
    <w:rsid w:val="00E4217F"/>
    <w:rsid w:val="00E5742A"/>
    <w:rsid w:val="00E64A6C"/>
    <w:rsid w:val="00E66E1B"/>
    <w:rsid w:val="00E771C7"/>
    <w:rsid w:val="00E95415"/>
    <w:rsid w:val="00E95A04"/>
    <w:rsid w:val="00EB729B"/>
    <w:rsid w:val="00EB747D"/>
    <w:rsid w:val="00EC7E37"/>
    <w:rsid w:val="00ED08A0"/>
    <w:rsid w:val="00ED186F"/>
    <w:rsid w:val="00EE312A"/>
    <w:rsid w:val="00F006E6"/>
    <w:rsid w:val="00F12D7A"/>
    <w:rsid w:val="00F16E3B"/>
    <w:rsid w:val="00F419DF"/>
    <w:rsid w:val="00F42235"/>
    <w:rsid w:val="00F468F2"/>
    <w:rsid w:val="00F622A5"/>
    <w:rsid w:val="00F817D0"/>
    <w:rsid w:val="00F927A8"/>
    <w:rsid w:val="00F92D45"/>
    <w:rsid w:val="00F93D60"/>
    <w:rsid w:val="00F9419D"/>
    <w:rsid w:val="00FA5F49"/>
    <w:rsid w:val="00FB4045"/>
    <w:rsid w:val="00FD1545"/>
    <w:rsid w:val="00FD1E6B"/>
    <w:rsid w:val="00FD7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B480C"/>
  <w15:chartTrackingRefBased/>
  <w15:docId w15:val="{CA5603DA-D82E-46BF-A88F-12758DAF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2A"/>
    <w:pPr>
      <w:spacing w:after="120"/>
      <w:jc w:val="both"/>
    </w:pPr>
    <w:rPr>
      <w:rFonts w:ascii="Century Gothic" w:hAnsi="Century Gothic" w:cs="Arial"/>
      <w:sz w:val="18"/>
    </w:rPr>
  </w:style>
  <w:style w:type="paragraph" w:styleId="Titre1">
    <w:name w:val="heading 1"/>
    <w:basedOn w:val="Normal"/>
    <w:qFormat/>
    <w:pPr>
      <w:keepNext/>
      <w:overflowPunct w:val="0"/>
      <w:autoSpaceDE w:val="0"/>
      <w:autoSpaceDN w:val="0"/>
      <w:adjustRightInd w:val="0"/>
      <w:jc w:val="left"/>
      <w:textAlignment w:val="baseline"/>
      <w:outlineLvl w:val="0"/>
    </w:pPr>
    <w:rPr>
      <w:rFonts w:ascii="Comic Sans MS" w:hAnsi="Comic Sans M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E4740"/>
    <w:pPr>
      <w:tabs>
        <w:tab w:val="center" w:pos="4536"/>
        <w:tab w:val="right" w:pos="9072"/>
      </w:tabs>
    </w:pPr>
  </w:style>
  <w:style w:type="paragraph" w:styleId="Pieddepage">
    <w:name w:val="footer"/>
    <w:basedOn w:val="Normal"/>
    <w:rsid w:val="006E4740"/>
    <w:pPr>
      <w:tabs>
        <w:tab w:val="center" w:pos="4536"/>
        <w:tab w:val="right" w:pos="9072"/>
      </w:tabs>
    </w:pPr>
  </w:style>
  <w:style w:type="paragraph" w:customStyle="1" w:styleId="Style1">
    <w:name w:val="Style1"/>
    <w:basedOn w:val="Retraitcorpsdetexte"/>
    <w:autoRedefine/>
    <w:pPr>
      <w:overflowPunct w:val="0"/>
      <w:autoSpaceDE w:val="0"/>
      <w:autoSpaceDN w:val="0"/>
      <w:adjustRightInd w:val="0"/>
      <w:spacing w:after="0"/>
      <w:ind w:left="0"/>
      <w:jc w:val="left"/>
      <w:textAlignment w:val="baseline"/>
    </w:pPr>
    <w:rPr>
      <w:rFonts w:ascii="Comic Sans MS" w:hAnsi="Comic Sans MS"/>
      <w:b/>
      <w:bCs/>
      <w:sz w:val="32"/>
      <w:szCs w:val="32"/>
      <w:u w:val="single"/>
    </w:rPr>
  </w:style>
  <w:style w:type="paragraph" w:styleId="Retraitcorpsdetexte">
    <w:name w:val="Body Text Indent"/>
    <w:basedOn w:val="Normal"/>
    <w:pPr>
      <w:ind w:left="283"/>
    </w:pPr>
  </w:style>
  <w:style w:type="character" w:styleId="Lienhypertexte">
    <w:name w:val="Hyperlink"/>
    <w:uiPriority w:val="99"/>
    <w:unhideWhenUsed/>
    <w:rsid w:val="009C670F"/>
    <w:rPr>
      <w:color w:val="0563C1"/>
      <w:u w:val="single"/>
    </w:rPr>
  </w:style>
  <w:style w:type="character" w:styleId="Mentionnonrsolue">
    <w:name w:val="Unresolved Mention"/>
    <w:uiPriority w:val="99"/>
    <w:semiHidden/>
    <w:unhideWhenUsed/>
    <w:rsid w:val="009C670F"/>
    <w:rPr>
      <w:color w:val="605E5C"/>
      <w:shd w:val="clear" w:color="auto" w:fill="E1DFDD"/>
    </w:rPr>
  </w:style>
  <w:style w:type="paragraph" w:styleId="Paragraphedeliste">
    <w:name w:val="List Paragraph"/>
    <w:basedOn w:val="Normal"/>
    <w:uiPriority w:val="34"/>
    <w:qFormat/>
    <w:rsid w:val="003D3D62"/>
    <w:pPr>
      <w:ind w:left="720"/>
      <w:contextualSpacing/>
    </w:pPr>
  </w:style>
  <w:style w:type="table" w:styleId="Grilledutableau">
    <w:name w:val="Table Grid"/>
    <w:basedOn w:val="TableauNormal"/>
    <w:uiPriority w:val="39"/>
    <w:rsid w:val="00DF0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3</Pages>
  <Words>779</Words>
  <Characters>4595</Characters>
  <Application>Microsoft Office Word</Application>
  <DocSecurity>0</DocSecurity>
  <Lines>101</Lines>
  <Paragraphs>65</Paragraphs>
  <ScaleCrop>false</ScaleCrop>
  <HeadingPairs>
    <vt:vector size="2" baseType="variant">
      <vt:variant>
        <vt:lpstr>Titre</vt:lpstr>
      </vt:variant>
      <vt:variant>
        <vt:i4>1</vt:i4>
      </vt:variant>
    </vt:vector>
  </HeadingPairs>
  <TitlesOfParts>
    <vt:vector size="1" baseType="lpstr">
      <vt:lpstr>FICHE action</vt:lpstr>
    </vt:vector>
  </TitlesOfParts>
  <Company>CPIE des Pays Narbonnais</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action</dc:title>
  <dc:subject>aménagement Pissevaches</dc:subject>
  <dc:creator>Alain DINDELEUX</dc:creator>
  <cp:keywords/>
  <dc:description/>
  <cp:lastModifiedBy>Jean-Marie PETIAU</cp:lastModifiedBy>
  <cp:revision>115</cp:revision>
  <cp:lastPrinted>2025-11-01T15:38:00Z</cp:lastPrinted>
  <dcterms:created xsi:type="dcterms:W3CDTF">2025-12-17T06:39:00Z</dcterms:created>
  <dcterms:modified xsi:type="dcterms:W3CDTF">2026-03-09T08:21:00Z</dcterms:modified>
</cp:coreProperties>
</file>