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92B8" w14:textId="3A378021" w:rsidR="00C541C0" w:rsidRPr="00783287" w:rsidRDefault="00CB02D9" w:rsidP="00CB02D9">
      <w:pPr>
        <w:tabs>
          <w:tab w:val="left" w:leader="dot" w:pos="9072"/>
        </w:tabs>
        <w:spacing w:line="360" w:lineRule="auto"/>
        <w:rPr>
          <w:rFonts w:ascii="Century Gothic" w:hAnsi="Century Gothic"/>
        </w:rPr>
      </w:pPr>
      <w:r w:rsidRPr="00783287">
        <w:rPr>
          <w:rFonts w:ascii="Century Gothic" w:hAnsi="Century Gothic"/>
          <w:b/>
          <w:bCs/>
        </w:rPr>
        <w:t>Type d’action</w:t>
      </w:r>
      <w:r w:rsidR="001B62F1" w:rsidRPr="00783287">
        <w:rPr>
          <w:rFonts w:ascii="Century Gothic" w:hAnsi="Century Gothic"/>
          <w:b/>
          <w:bCs/>
        </w:rPr>
        <w:t xml:space="preserve"> : </w:t>
      </w:r>
      <w:r w:rsidR="00242EF2">
        <w:rPr>
          <w:rFonts w:ascii="Century Gothic" w:hAnsi="Century Gothic"/>
          <w:b/>
          <w:bCs/>
        </w:rPr>
        <w:t>AMENAGEMENT</w:t>
      </w:r>
    </w:p>
    <w:p w14:paraId="6A267448" w14:textId="69DF6954" w:rsidR="00C541C0" w:rsidRPr="00783287" w:rsidRDefault="00CB02D9" w:rsidP="00242EF2">
      <w:pPr>
        <w:tabs>
          <w:tab w:val="left" w:leader="dot" w:pos="9072"/>
        </w:tabs>
        <w:spacing w:line="360" w:lineRule="auto"/>
        <w:ind w:right="72"/>
        <w:rPr>
          <w:rFonts w:ascii="Century Gothic" w:hAnsi="Century Gothic"/>
        </w:rPr>
      </w:pPr>
      <w:r w:rsidRPr="00783287">
        <w:rPr>
          <w:rFonts w:ascii="Century Gothic" w:hAnsi="Century Gothic"/>
          <w:b/>
          <w:bCs/>
        </w:rPr>
        <w:t>Axe</w:t>
      </w:r>
      <w:r w:rsidR="00C541C0" w:rsidRPr="00783287">
        <w:rPr>
          <w:rFonts w:ascii="Century Gothic" w:hAnsi="Century Gothic"/>
          <w:b/>
          <w:bCs/>
        </w:rPr>
        <w:t xml:space="preserve"> : </w:t>
      </w:r>
      <w:r w:rsidR="00242EF2" w:rsidRPr="00242EF2">
        <w:rPr>
          <w:rFonts w:ascii="Mistral" w:hAnsi="Mistral"/>
          <w:b/>
          <w:bCs/>
          <w:noProof/>
          <w:color w:val="833C0B"/>
          <w:sz w:val="36"/>
          <w:szCs w:val="36"/>
        </w:rPr>
        <w:t>« Redéploiement équilibré des terroirs nourriciers</w:t>
      </w:r>
      <w:r w:rsidR="00242EF2">
        <w:rPr>
          <w:rFonts w:ascii="Mistral" w:hAnsi="Mistral"/>
          <w:b/>
          <w:bCs/>
          <w:noProof/>
          <w:color w:val="833C0B"/>
          <w:sz w:val="36"/>
          <w:szCs w:val="36"/>
        </w:rPr>
        <w:t> »</w:t>
      </w:r>
    </w:p>
    <w:p w14:paraId="6047ED62" w14:textId="75CF6F9D" w:rsidR="000852E0" w:rsidRPr="00783287" w:rsidRDefault="000852E0" w:rsidP="00242EF2">
      <w:pPr>
        <w:tabs>
          <w:tab w:val="left" w:leader="dot" w:pos="9072"/>
        </w:tabs>
        <w:spacing w:line="360" w:lineRule="auto"/>
        <w:ind w:right="72"/>
        <w:rPr>
          <w:rFonts w:ascii="Century Gothic" w:hAnsi="Century Gothic"/>
          <w:b/>
          <w:bCs/>
        </w:rPr>
      </w:pPr>
      <w:r w:rsidRPr="00783287">
        <w:rPr>
          <w:rFonts w:ascii="Century Gothic" w:hAnsi="Century Gothic"/>
          <w:b/>
          <w:bCs/>
        </w:rPr>
        <w:t xml:space="preserve">Orientation </w:t>
      </w:r>
      <w:r w:rsidR="00CB02D9" w:rsidRPr="00783287">
        <w:rPr>
          <w:rFonts w:ascii="Century Gothic" w:hAnsi="Century Gothic"/>
          <w:b/>
          <w:bCs/>
        </w:rPr>
        <w:t>stratégique</w:t>
      </w:r>
      <w:r w:rsidRPr="00783287">
        <w:rPr>
          <w:rFonts w:ascii="Century Gothic" w:hAnsi="Century Gothic"/>
          <w:b/>
          <w:bCs/>
        </w:rPr>
        <w:t xml:space="preserve"> : </w:t>
      </w:r>
      <w:r w:rsidR="00242EF2" w:rsidRPr="00242EF2">
        <w:rPr>
          <w:rFonts w:ascii="Century Gothic" w:hAnsi="Century Gothic"/>
          <w:b/>
          <w:bCs/>
        </w:rPr>
        <w:t>"Penser autrement" la constructibilité</w:t>
      </w:r>
      <w:r w:rsidR="00242EF2">
        <w:rPr>
          <w:rFonts w:ascii="Century Gothic" w:hAnsi="Century Gothic"/>
          <w:b/>
          <w:bCs/>
        </w:rPr>
        <w:t xml:space="preserve"> </w:t>
      </w:r>
      <w:r w:rsidR="00242EF2" w:rsidRPr="00242EF2">
        <w:rPr>
          <w:rFonts w:ascii="Century Gothic" w:hAnsi="Century Gothic"/>
          <w:b/>
          <w:bCs/>
        </w:rPr>
        <w:t>en zone agricole</w:t>
      </w:r>
      <w:r w:rsidR="00C91CE0">
        <w:rPr>
          <w:rFonts w:ascii="Century Gothic" w:hAnsi="Century Gothic"/>
          <w:b/>
          <w:bCs/>
        </w:rPr>
        <w:t xml:space="preserve"> / </w:t>
      </w:r>
    </w:p>
    <w:p w14:paraId="15EE6FB6" w14:textId="08A17487" w:rsidR="006334CA" w:rsidRPr="00E81BB8" w:rsidRDefault="008E386C" w:rsidP="00F419DF">
      <w:pPr>
        <w:tabs>
          <w:tab w:val="left" w:leader="dot" w:pos="9072"/>
        </w:tabs>
        <w:ind w:right="-2"/>
        <w:rPr>
          <w:rFonts w:ascii="Century Gothic" w:hAnsi="Century Gothic"/>
          <w:b/>
          <w:bCs/>
          <w:i/>
          <w:iCs/>
          <w:noProof/>
          <w:color w:val="E9571C"/>
          <w:sz w:val="24"/>
          <w:szCs w:val="24"/>
        </w:rPr>
      </w:pPr>
      <w:r w:rsidRPr="00CB02D9">
        <w:rPr>
          <w:rFonts w:ascii="Century Gothic" w:hAnsi="Century Gothic"/>
          <w:b/>
          <w:bCs/>
          <w:sz w:val="24"/>
          <w:szCs w:val="24"/>
        </w:rPr>
        <w:t>F</w:t>
      </w:r>
      <w:r w:rsidR="000852E0" w:rsidRPr="00CB02D9">
        <w:rPr>
          <w:rFonts w:ascii="Century Gothic" w:hAnsi="Century Gothic"/>
          <w:b/>
          <w:bCs/>
          <w:sz w:val="24"/>
          <w:szCs w:val="24"/>
        </w:rPr>
        <w:t xml:space="preserve">iche </w:t>
      </w:r>
      <w:r w:rsidR="00D72AFD" w:rsidRPr="00CB02D9">
        <w:rPr>
          <w:rFonts w:ascii="Century Gothic" w:hAnsi="Century Gothic"/>
          <w:b/>
          <w:bCs/>
          <w:sz w:val="24"/>
          <w:szCs w:val="24"/>
        </w:rPr>
        <w:t xml:space="preserve">action </w:t>
      </w:r>
      <w:r w:rsidR="00D72AFD">
        <w:rPr>
          <w:rFonts w:ascii="Century Gothic" w:hAnsi="Century Gothic"/>
          <w:b/>
          <w:bCs/>
          <w:sz w:val="24"/>
          <w:szCs w:val="24"/>
        </w:rPr>
        <w:t>6</w:t>
      </w:r>
      <w:r w:rsidR="008427ED" w:rsidRPr="00CB02D9">
        <w:rPr>
          <w:rFonts w:ascii="Century Gothic" w:hAnsi="Century Gothic"/>
          <w:b/>
          <w:bCs/>
          <w:sz w:val="24"/>
          <w:szCs w:val="24"/>
        </w:rPr>
        <w:t> :</w:t>
      </w:r>
      <w:r w:rsidR="00A759C7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0B32C2" w:rsidRPr="00E81BB8">
        <w:rPr>
          <w:rFonts w:ascii="Century Gothic" w:hAnsi="Century Gothic"/>
          <w:b/>
          <w:bCs/>
          <w:i/>
          <w:iCs/>
          <w:noProof/>
          <w:color w:val="E9571C"/>
          <w:sz w:val="24"/>
          <w:szCs w:val="24"/>
        </w:rPr>
        <w:t>m</w:t>
      </w:r>
      <w:r w:rsidR="00526D42" w:rsidRPr="00E81BB8">
        <w:rPr>
          <w:rFonts w:ascii="Century Gothic" w:hAnsi="Century Gothic"/>
          <w:b/>
          <w:bCs/>
          <w:i/>
          <w:iCs/>
          <w:noProof/>
          <w:color w:val="E9571C"/>
          <w:sz w:val="24"/>
          <w:szCs w:val="24"/>
        </w:rPr>
        <w:t>aitriser les constructions et occupations du sol non agricoles</w:t>
      </w:r>
    </w:p>
    <w:p w14:paraId="04C0B0C4" w14:textId="102E731B" w:rsidR="00C541C0" w:rsidRPr="0097697E" w:rsidRDefault="00C541C0" w:rsidP="0097697E">
      <w:pPr>
        <w:rPr>
          <w:rFonts w:ascii="Century Gothic" w:hAnsi="Century Gothic"/>
        </w:rPr>
      </w:pPr>
    </w:p>
    <w:tbl>
      <w:tblPr>
        <w:tblW w:w="93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8"/>
        <w:gridCol w:w="4325"/>
      </w:tblGrid>
      <w:tr w:rsidR="00A759C7" w:rsidRPr="00CB02D9" w14:paraId="0A22D6DE" w14:textId="77777777" w:rsidTr="007C346A">
        <w:trPr>
          <w:trHeight w:val="884"/>
        </w:trPr>
        <w:tc>
          <w:tcPr>
            <w:tcW w:w="9303" w:type="dxa"/>
            <w:gridSpan w:val="2"/>
          </w:tcPr>
          <w:p w14:paraId="70AD6CB5" w14:textId="77777777" w:rsidR="00A759C7" w:rsidRDefault="00783287" w:rsidP="009217A4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Motif de l’action</w:t>
            </w:r>
          </w:p>
          <w:p w14:paraId="4C94F90A" w14:textId="26A6F158" w:rsidR="0025344C" w:rsidRPr="00783287" w:rsidRDefault="007C346A" w:rsidP="005C383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</w:t>
            </w:r>
            <w:r w:rsidRPr="007C346A">
              <w:rPr>
                <w:rFonts w:ascii="Century Gothic" w:hAnsi="Century Gothic"/>
                <w:sz w:val="18"/>
                <w:szCs w:val="18"/>
              </w:rPr>
              <w:t>e nombreuses constructions et occupations non agricoles en zones agricoles (A) génèr</w:t>
            </w:r>
            <w:r>
              <w:rPr>
                <w:rFonts w:ascii="Century Gothic" w:hAnsi="Century Gothic"/>
                <w:sz w:val="18"/>
                <w:szCs w:val="18"/>
              </w:rPr>
              <w:t>ent</w:t>
            </w:r>
            <w:r w:rsidRPr="007C346A">
              <w:rPr>
                <w:rFonts w:ascii="Century Gothic" w:hAnsi="Century Gothic"/>
                <w:sz w:val="18"/>
                <w:szCs w:val="18"/>
              </w:rPr>
              <w:t xml:space="preserve"> spéculation et conflits d’usages.</w:t>
            </w:r>
            <w:r w:rsidR="005C383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7C346A">
              <w:rPr>
                <w:rFonts w:ascii="Century Gothic" w:hAnsi="Century Gothic"/>
                <w:sz w:val="18"/>
                <w:szCs w:val="18"/>
              </w:rPr>
              <w:t>Le marché foncier échappe à l'agriculture, seulement 15% du volume des mutations sur 9 ans (2014 à 2022).</w:t>
            </w:r>
            <w:r w:rsidR="005C383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7C346A">
              <w:rPr>
                <w:rFonts w:ascii="Century Gothic" w:hAnsi="Century Gothic"/>
                <w:sz w:val="18"/>
                <w:szCs w:val="18"/>
              </w:rPr>
              <w:t>Malgré l</w:t>
            </w:r>
            <w:r>
              <w:rPr>
                <w:rFonts w:ascii="Century Gothic" w:hAnsi="Century Gothic"/>
                <w:sz w:val="18"/>
                <w:szCs w:val="18"/>
              </w:rPr>
              <w:t xml:space="preserve">’interdiction de </w:t>
            </w:r>
            <w:r w:rsidRPr="007C346A">
              <w:rPr>
                <w:rFonts w:ascii="Century Gothic" w:hAnsi="Century Gothic"/>
                <w:sz w:val="18"/>
                <w:szCs w:val="18"/>
              </w:rPr>
              <w:t xml:space="preserve">destination des constructions non agricoles sur les zones A, les biens continuent d’être vendus à des non-agriculteurs. Ceci présente une </w:t>
            </w:r>
            <w:r>
              <w:rPr>
                <w:rFonts w:ascii="Century Gothic" w:hAnsi="Century Gothic"/>
                <w:sz w:val="18"/>
                <w:szCs w:val="18"/>
              </w:rPr>
              <w:t>« </w:t>
            </w:r>
            <w:r w:rsidRPr="007C346A">
              <w:rPr>
                <w:rFonts w:ascii="Century Gothic" w:hAnsi="Century Gothic"/>
                <w:sz w:val="18"/>
                <w:szCs w:val="18"/>
              </w:rPr>
              <w:t>aubaine</w:t>
            </w:r>
            <w:r>
              <w:rPr>
                <w:rFonts w:ascii="Century Gothic" w:hAnsi="Century Gothic"/>
                <w:sz w:val="18"/>
                <w:szCs w:val="18"/>
              </w:rPr>
              <w:t> »</w:t>
            </w:r>
            <w:r w:rsidRPr="007C346A">
              <w:rPr>
                <w:rFonts w:ascii="Century Gothic" w:hAnsi="Century Gothic"/>
                <w:sz w:val="18"/>
                <w:szCs w:val="18"/>
              </w:rPr>
              <w:t xml:space="preserve"> pour des acquéreurs non agricoles jouissant de villégiatures tant qu’ils ne recourent pas à une demande de permis de construire.</w:t>
            </w:r>
          </w:p>
        </w:tc>
      </w:tr>
      <w:tr w:rsidR="00A759C7" w:rsidRPr="00CB02D9" w14:paraId="0C9C36D4" w14:textId="77777777" w:rsidTr="0074166D">
        <w:trPr>
          <w:trHeight w:val="3364"/>
        </w:trPr>
        <w:tc>
          <w:tcPr>
            <w:tcW w:w="4978" w:type="dxa"/>
          </w:tcPr>
          <w:p w14:paraId="6F49FC02" w14:textId="1383C922" w:rsidR="00A759C7" w:rsidRDefault="00A759C7" w:rsidP="009217A4">
            <w:pPr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>Localisation</w:t>
            </w:r>
          </w:p>
          <w:p w14:paraId="0456E592" w14:textId="1A63E008" w:rsidR="009D5A75" w:rsidRPr="009D5A75" w:rsidRDefault="009D5A75" w:rsidP="005C3836">
            <w:pPr>
              <w:rPr>
                <w:rFonts w:ascii="Century Gothic" w:hAnsi="Century Gothic"/>
                <w:sz w:val="18"/>
                <w:szCs w:val="18"/>
              </w:rPr>
            </w:pPr>
            <w:r w:rsidRPr="009D5A75">
              <w:rPr>
                <w:rFonts w:ascii="Century Gothic" w:hAnsi="Century Gothic"/>
                <w:sz w:val="18"/>
                <w:szCs w:val="18"/>
              </w:rPr>
              <w:t>Zone</w:t>
            </w:r>
            <w:r w:rsidR="007C346A">
              <w:rPr>
                <w:rFonts w:ascii="Century Gothic" w:hAnsi="Century Gothic"/>
                <w:sz w:val="18"/>
                <w:szCs w:val="18"/>
              </w:rPr>
              <w:t>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agricole</w:t>
            </w:r>
            <w:r w:rsidR="007C346A">
              <w:rPr>
                <w:rFonts w:ascii="Century Gothic" w:hAnsi="Century Gothic"/>
                <w:sz w:val="18"/>
                <w:szCs w:val="18"/>
              </w:rPr>
              <w:t>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dans le PAEN et par extension toute</w:t>
            </w:r>
            <w:r w:rsidR="007C346A">
              <w:rPr>
                <w:rFonts w:ascii="Century Gothic" w:hAnsi="Century Gothic"/>
                <w:sz w:val="18"/>
                <w:szCs w:val="18"/>
              </w:rPr>
              <w:t>s les z</w:t>
            </w:r>
            <w:r>
              <w:rPr>
                <w:rFonts w:ascii="Century Gothic" w:hAnsi="Century Gothic"/>
                <w:sz w:val="18"/>
                <w:szCs w:val="18"/>
              </w:rPr>
              <w:t>one</w:t>
            </w:r>
            <w:r w:rsidR="007C346A">
              <w:rPr>
                <w:rFonts w:ascii="Century Gothic" w:hAnsi="Century Gothic"/>
                <w:sz w:val="18"/>
                <w:szCs w:val="18"/>
              </w:rPr>
              <w:t>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agricole</w:t>
            </w:r>
            <w:r w:rsidR="007C346A">
              <w:rPr>
                <w:rFonts w:ascii="Century Gothic" w:hAnsi="Century Gothic"/>
                <w:sz w:val="18"/>
                <w:szCs w:val="18"/>
              </w:rPr>
              <w:t>s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61984FB8" w14:textId="741F270A" w:rsidR="009D5A75" w:rsidRDefault="00875FFD" w:rsidP="007C346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567FBFFF" wp14:editId="03E574E2">
                  <wp:extent cx="3072765" cy="1731645"/>
                  <wp:effectExtent l="0" t="0" r="0" b="1905"/>
                  <wp:docPr id="167650959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765" cy="1731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5" w:type="dxa"/>
          </w:tcPr>
          <w:p w14:paraId="477E2C4B" w14:textId="77777777" w:rsidR="00783287" w:rsidRPr="00CB02D9" w:rsidRDefault="00783287" w:rsidP="00783287">
            <w:pPr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>Description</w:t>
            </w:r>
            <w:r>
              <w:rPr>
                <w:rFonts w:ascii="Century Gothic" w:hAnsi="Century Gothic"/>
                <w:b/>
                <w:bCs/>
              </w:rPr>
              <w:t xml:space="preserve"> de l’action</w:t>
            </w:r>
          </w:p>
          <w:p w14:paraId="6F49071C" w14:textId="77777777" w:rsidR="00A759C7" w:rsidRDefault="009D5A75" w:rsidP="00DD0335">
            <w:pPr>
              <w:spacing w:after="120"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9D5A75">
              <w:rPr>
                <w:rFonts w:ascii="Century Gothic" w:hAnsi="Century Gothic"/>
                <w:sz w:val="18"/>
                <w:szCs w:val="18"/>
              </w:rPr>
              <w:t>Penser autrement, avancé en ateliers, jouerait le temps long pour résorber et empêcher les occupations non agricoles pour un retour agricole lors des ventes.</w:t>
            </w:r>
          </w:p>
          <w:p w14:paraId="3DF425EB" w14:textId="1BBD8CA9" w:rsidR="00B74B23" w:rsidRPr="00E81BB8" w:rsidRDefault="00B74B23" w:rsidP="00DD0335">
            <w:pPr>
              <w:spacing w:after="120" w:line="36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81BB8">
              <w:rPr>
                <w:rFonts w:ascii="Century Gothic" w:hAnsi="Century Gothic"/>
                <w:b/>
                <w:bCs/>
                <w:sz w:val="18"/>
                <w:szCs w:val="18"/>
              </w:rPr>
              <w:t>Protéger les sièges d’exploitation (éviter que ceux-ci deviennent des Kaz à terre) et autres bâtis à usage agricole + réorienter des bâtis non agricoles vers l’agriculture en fonction des besoins identifiés</w:t>
            </w:r>
          </w:p>
          <w:p w14:paraId="6A424D4B" w14:textId="05125540" w:rsidR="00C91CE0" w:rsidRPr="00CB02D9" w:rsidRDefault="00C91CE0" w:rsidP="00DD0335">
            <w:pPr>
              <w:spacing w:after="120"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Surveiller le marché des vente</w:t>
            </w:r>
            <w:r w:rsidR="00F35726">
              <w:rPr>
                <w:rFonts w:ascii="Century Gothic" w:hAnsi="Century Gothic"/>
                <w:sz w:val="18"/>
                <w:szCs w:val="18"/>
              </w:rPr>
              <w:t>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de biens bâtis en zone agricole et intervenir en préemption lorsque ceux-ci peuvent constituer des sièges d’exploitation ou quand ceux-ci sont associer à du foncier en zone A suffisamment important pour faire l’objet d’une production agricole.</w:t>
            </w:r>
          </w:p>
        </w:tc>
      </w:tr>
    </w:tbl>
    <w:p w14:paraId="025DCA5E" w14:textId="77777777" w:rsidR="009470ED" w:rsidRDefault="009470ED">
      <w:r>
        <w:br w:type="page"/>
      </w:r>
    </w:p>
    <w:tbl>
      <w:tblPr>
        <w:tblW w:w="93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69"/>
        <w:gridCol w:w="2407"/>
        <w:gridCol w:w="1918"/>
      </w:tblGrid>
      <w:tr w:rsidR="00C541C0" w:rsidRPr="00242EF2" w14:paraId="7F0587BC" w14:textId="77777777" w:rsidTr="00951603">
        <w:tc>
          <w:tcPr>
            <w:tcW w:w="9303" w:type="dxa"/>
            <w:gridSpan w:val="4"/>
            <w:tcBorders>
              <w:bottom w:val="single" w:sz="4" w:space="0" w:color="auto"/>
            </w:tcBorders>
          </w:tcPr>
          <w:p w14:paraId="5FF00ACD" w14:textId="405741D1" w:rsidR="00C541C0" w:rsidRPr="00242EF2" w:rsidRDefault="00783287" w:rsidP="00EC7E37">
            <w:pPr>
              <w:spacing w:line="36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42EF2">
              <w:rPr>
                <w:rFonts w:ascii="Century Gothic" w:hAnsi="Century Gothic"/>
                <w:b/>
                <w:bCs/>
                <w:sz w:val="18"/>
                <w:szCs w:val="18"/>
              </w:rPr>
              <w:lastRenderedPageBreak/>
              <w:t>Actions opérationnelles</w:t>
            </w:r>
            <w:r w:rsidR="003F21F0">
              <w:rPr>
                <w:rFonts w:ascii="Century Gothic" w:hAnsi="Century Gothic"/>
                <w:b/>
                <w:bCs/>
                <w:sz w:val="18"/>
                <w:szCs w:val="18"/>
              </w:rPr>
              <w:t> :</w:t>
            </w:r>
          </w:p>
          <w:p w14:paraId="6900445A" w14:textId="589FBCF6" w:rsidR="0025344C" w:rsidRPr="00075EFF" w:rsidRDefault="00242EF2" w:rsidP="0025344C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5EFF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Recenser le bâti </w:t>
            </w:r>
            <w:r w:rsidR="0025344C" w:rsidRPr="00075EFF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en zone </w:t>
            </w:r>
            <w:r w:rsidRPr="00075EFF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agricole </w:t>
            </w:r>
            <w:r w:rsidR="0025344C" w:rsidRPr="00075EFF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et </w:t>
            </w:r>
            <w:r w:rsidR="00500A10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en </w:t>
            </w:r>
            <w:r w:rsidR="0025344C" w:rsidRPr="00075EFF">
              <w:rPr>
                <w:rFonts w:ascii="Century Gothic" w:hAnsi="Century Gothic"/>
                <w:b/>
                <w:bCs/>
                <w:sz w:val="18"/>
                <w:szCs w:val="18"/>
              </w:rPr>
              <w:t>identifier</w:t>
            </w:r>
            <w:r w:rsidR="00500A10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l’</w:t>
            </w:r>
            <w:r w:rsidR="0025344C" w:rsidRPr="00075EFF">
              <w:rPr>
                <w:rFonts w:ascii="Century Gothic" w:hAnsi="Century Gothic"/>
                <w:b/>
                <w:bCs/>
                <w:sz w:val="18"/>
                <w:szCs w:val="18"/>
              </w:rPr>
              <w:t>usage agricole ou non (siège d’exploitation compris)</w:t>
            </w:r>
            <w:r w:rsidR="00775E83" w:rsidRPr="00075EFF"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</w:p>
          <w:p w14:paraId="6AD3C8BB" w14:textId="77777777" w:rsidR="00DF19A2" w:rsidRPr="006814A0" w:rsidRDefault="00DF19A2" w:rsidP="00DF19A2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>Identifier, v</w:t>
            </w:r>
            <w:r w:rsidRPr="006814A0"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 xml:space="preserve">erbaliser et </w:t>
            </w:r>
            <w:r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 xml:space="preserve">ester </w:t>
            </w:r>
            <w:r w:rsidRPr="006814A0"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>en justice contre les constructions illégales</w:t>
            </w:r>
            <w:r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  <w:t>.</w:t>
            </w:r>
          </w:p>
          <w:p w14:paraId="137C8F6E" w14:textId="77777777" w:rsidR="00086DCD" w:rsidRDefault="00242EF2" w:rsidP="009D5A75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5EFF">
              <w:rPr>
                <w:rFonts w:ascii="Century Gothic" w:hAnsi="Century Gothic"/>
                <w:b/>
                <w:bCs/>
                <w:sz w:val="18"/>
                <w:szCs w:val="18"/>
              </w:rPr>
              <w:t>Appliquer plus efficacement le droit de préemption</w:t>
            </w:r>
            <w:r w:rsidR="009D5A75" w:rsidRPr="00075EFF">
              <w:rPr>
                <w:rFonts w:ascii="Century Gothic" w:hAnsi="Century Gothic"/>
                <w:b/>
                <w:bCs/>
                <w:sz w:val="18"/>
                <w:szCs w:val="18"/>
              </w:rPr>
              <w:t> :</w:t>
            </w:r>
          </w:p>
          <w:p w14:paraId="041E2E73" w14:textId="77777777" w:rsidR="000E3BCA" w:rsidRPr="000E3BCA" w:rsidRDefault="000E3BCA" w:rsidP="000E3BCA">
            <w:pPr>
              <w:numPr>
                <w:ilvl w:val="1"/>
                <w:numId w:val="4"/>
              </w:numPr>
              <w:spacing w:line="360" w:lineRule="auto"/>
              <w:ind w:left="634" w:hanging="283"/>
              <w:rPr>
                <w:rFonts w:ascii="Century Gothic" w:hAnsi="Century Gothic"/>
                <w:color w:val="EE0000"/>
                <w:sz w:val="18"/>
                <w:szCs w:val="18"/>
              </w:rPr>
            </w:pPr>
            <w:r w:rsidRPr="000E3BCA">
              <w:rPr>
                <w:rFonts w:ascii="Century Gothic" w:hAnsi="Century Gothic"/>
                <w:color w:val="EE0000"/>
                <w:sz w:val="18"/>
                <w:szCs w:val="18"/>
              </w:rPr>
              <w:t>Information des notaires sur leur obligation d’informer les acquéreurs du droit de préemption qui s’exerce par le Département dans le périmètre du PAEN et de l’impossibilité de « déclassement ».</w:t>
            </w:r>
          </w:p>
          <w:p w14:paraId="6E5B813D" w14:textId="3B9EF6C2" w:rsidR="00086DCD" w:rsidRPr="00A50473" w:rsidRDefault="00835360" w:rsidP="00086DCD">
            <w:pPr>
              <w:numPr>
                <w:ilvl w:val="1"/>
                <w:numId w:val="4"/>
              </w:numPr>
              <w:spacing w:line="360" w:lineRule="auto"/>
              <w:ind w:left="634" w:hanging="283"/>
              <w:rPr>
                <w:rFonts w:ascii="Century Gothic" w:hAnsi="Century Gothic"/>
                <w:b/>
                <w:bCs/>
                <w:color w:val="EE0000"/>
                <w:sz w:val="18"/>
                <w:szCs w:val="18"/>
              </w:rPr>
            </w:pPr>
            <w:r w:rsidRPr="00A50473">
              <w:rPr>
                <w:rFonts w:ascii="Century Gothic" w:hAnsi="Century Gothic"/>
                <w:color w:val="EE0000"/>
                <w:sz w:val="18"/>
                <w:szCs w:val="18"/>
              </w:rPr>
              <w:t>Formalisation de l’organisation de la veille foncière entre le Département, la Commune, la SAFER</w:t>
            </w:r>
            <w:r w:rsidR="002545A8" w:rsidRPr="00A50473">
              <w:rPr>
                <w:rFonts w:ascii="Century Gothic" w:hAnsi="Century Gothic"/>
                <w:color w:val="EE0000"/>
                <w:sz w:val="18"/>
                <w:szCs w:val="18"/>
              </w:rPr>
              <w:t>.</w:t>
            </w:r>
          </w:p>
          <w:p w14:paraId="19ED2497" w14:textId="11EFE7DE" w:rsidR="006008F9" w:rsidRPr="00BF6101" w:rsidRDefault="002545A8" w:rsidP="00086DCD">
            <w:pPr>
              <w:numPr>
                <w:ilvl w:val="1"/>
                <w:numId w:val="4"/>
              </w:numPr>
              <w:spacing w:line="360" w:lineRule="auto"/>
              <w:ind w:left="634" w:hanging="283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545A8">
              <w:rPr>
                <w:rFonts w:ascii="Century Gothic" w:hAnsi="Century Gothic"/>
                <w:color w:val="7D7E7F"/>
                <w:sz w:val="18"/>
                <w:szCs w:val="18"/>
              </w:rPr>
              <w:t>I</w:t>
            </w:r>
            <w:r w:rsidR="009D5A75" w:rsidRPr="002545A8">
              <w:rPr>
                <w:rFonts w:ascii="Century Gothic" w:hAnsi="Century Gothic"/>
                <w:color w:val="7D7E7F"/>
                <w:sz w:val="18"/>
                <w:szCs w:val="18"/>
              </w:rPr>
              <w:t>nfo</w:t>
            </w:r>
            <w:r w:rsidR="009D5A75" w:rsidRPr="00B22D5A">
              <w:rPr>
                <w:rFonts w:ascii="Century Gothic" w:hAnsi="Century Gothic"/>
                <w:sz w:val="18"/>
                <w:szCs w:val="18"/>
              </w:rPr>
              <w:t>rmation et suivi systématique des déclarations d’intention d’aliéner</w:t>
            </w:r>
            <w:r w:rsidR="007127C4" w:rsidRPr="00B22D5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9D5A75" w:rsidRPr="00B22D5A">
              <w:rPr>
                <w:rFonts w:ascii="Century Gothic" w:hAnsi="Century Gothic"/>
                <w:sz w:val="18"/>
                <w:szCs w:val="18"/>
              </w:rPr>
              <w:t>ainsi qu’une anticipation financière pour l’acquisition afin d’empêcher toute nouvelle vente à destination non agricole.</w:t>
            </w:r>
          </w:p>
          <w:p w14:paraId="335C8275" w14:textId="36C45809" w:rsidR="00000EA1" w:rsidRPr="00E81BB8" w:rsidRDefault="00000EA1" w:rsidP="009D5A75">
            <w:pPr>
              <w:numPr>
                <w:ilvl w:val="0"/>
                <w:numId w:val="4"/>
              </w:numPr>
              <w:spacing w:line="360" w:lineRule="auto"/>
              <w:ind w:left="284" w:hanging="284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81BB8">
              <w:rPr>
                <w:rFonts w:ascii="Century Gothic" w:hAnsi="Century Gothic"/>
                <w:b/>
                <w:bCs/>
                <w:sz w:val="18"/>
                <w:szCs w:val="18"/>
              </w:rPr>
              <w:t>Identifier des financements possibles / identifier des partenaires financiers</w:t>
            </w:r>
            <w:r w:rsidR="00775E83"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</w:p>
        </w:tc>
      </w:tr>
      <w:tr w:rsidR="00951603" w:rsidRPr="00CB02D9" w14:paraId="50684BB5" w14:textId="77777777" w:rsidTr="00951603">
        <w:tc>
          <w:tcPr>
            <w:tcW w:w="9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BF3D" w14:textId="77777777" w:rsidR="00951603" w:rsidRPr="00CB02D9" w:rsidRDefault="00951603" w:rsidP="00951603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>Cadre réglementaire</w:t>
            </w:r>
          </w:p>
          <w:p w14:paraId="0B68D962" w14:textId="42A2DB6C" w:rsidR="00951603" w:rsidRPr="00CB02D9" w:rsidRDefault="00951603" w:rsidP="00951603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Code de l’urbanisme</w:t>
            </w:r>
          </w:p>
        </w:tc>
      </w:tr>
      <w:tr w:rsidR="00C541C0" w:rsidRPr="00CB02D9" w14:paraId="5E611D64" w14:textId="77777777" w:rsidTr="00951603">
        <w:tc>
          <w:tcPr>
            <w:tcW w:w="9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69F5" w14:textId="15AF2D9A" w:rsidR="00C541C0" w:rsidRPr="00CB02D9" w:rsidRDefault="00C541C0" w:rsidP="001808DC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 xml:space="preserve">Lien avec </w:t>
            </w:r>
            <w:r w:rsidR="00783287">
              <w:rPr>
                <w:rFonts w:ascii="Century Gothic" w:hAnsi="Century Gothic"/>
                <w:b/>
                <w:bCs/>
              </w:rPr>
              <w:t xml:space="preserve">les autres actions </w:t>
            </w:r>
            <w:r w:rsidR="00056FF0">
              <w:rPr>
                <w:rFonts w:ascii="Century Gothic" w:hAnsi="Century Gothic"/>
                <w:b/>
                <w:bCs/>
              </w:rPr>
              <w:t>du p</w:t>
            </w:r>
            <w:r w:rsidR="005E2D68">
              <w:rPr>
                <w:rFonts w:ascii="Century Gothic" w:hAnsi="Century Gothic"/>
                <w:b/>
                <w:bCs/>
              </w:rPr>
              <w:t>r</w:t>
            </w:r>
            <w:r w:rsidR="00056FF0">
              <w:rPr>
                <w:rFonts w:ascii="Century Gothic" w:hAnsi="Century Gothic"/>
                <w:b/>
                <w:bCs/>
              </w:rPr>
              <w:t xml:space="preserve">ogramme d’action </w:t>
            </w:r>
            <w:r w:rsidR="002D0F5F">
              <w:rPr>
                <w:rFonts w:ascii="Century Gothic" w:hAnsi="Century Gothic"/>
                <w:b/>
                <w:bCs/>
              </w:rPr>
              <w:t xml:space="preserve">et autres </w:t>
            </w:r>
            <w:r w:rsidR="005C3836" w:rsidRPr="00CB02D9">
              <w:rPr>
                <w:rFonts w:ascii="Century Gothic" w:hAnsi="Century Gothic"/>
                <w:b/>
                <w:bCs/>
              </w:rPr>
              <w:t>programmes</w:t>
            </w:r>
          </w:p>
          <w:p w14:paraId="509E8FC5" w14:textId="77777777" w:rsidR="006008F9" w:rsidRPr="00606755" w:rsidRDefault="00730B0E" w:rsidP="00157DA2">
            <w:pPr>
              <w:pStyle w:val="Paragraphedeliste"/>
              <w:numPr>
                <w:ilvl w:val="0"/>
                <w:numId w:val="6"/>
              </w:numPr>
              <w:spacing w:after="120" w:line="360" w:lineRule="auto"/>
              <w:ind w:left="344" w:hanging="284"/>
              <w:rPr>
                <w:rFonts w:ascii="Century Gothic" w:hAnsi="Century Gothic"/>
                <w:color w:val="E9571C"/>
                <w:sz w:val="18"/>
                <w:szCs w:val="18"/>
              </w:rPr>
            </w:pPr>
            <w:r w:rsidRPr="00606755">
              <w:rPr>
                <w:rFonts w:ascii="Century Gothic" w:hAnsi="Century Gothic"/>
                <w:b/>
                <w:bCs/>
                <w:i/>
                <w:iCs/>
                <w:color w:val="E9571C"/>
                <w:sz w:val="18"/>
                <w:szCs w:val="18"/>
              </w:rPr>
              <w:t xml:space="preserve">Agir </w:t>
            </w:r>
            <w:r w:rsidRPr="00606755">
              <w:rPr>
                <w:rFonts w:ascii="Century Gothic" w:hAnsi="Century Gothic"/>
                <w:b/>
                <w:bCs/>
                <w:i/>
                <w:iCs/>
                <w:color w:val="E9571C"/>
                <w:sz w:val="18"/>
              </w:rPr>
              <w:t>contre</w:t>
            </w:r>
            <w:r w:rsidRPr="00606755">
              <w:rPr>
                <w:rFonts w:ascii="Century Gothic" w:hAnsi="Century Gothic"/>
                <w:b/>
                <w:bCs/>
                <w:i/>
                <w:iCs/>
                <w:color w:val="E9571C"/>
                <w:sz w:val="18"/>
                <w:szCs w:val="18"/>
              </w:rPr>
              <w:t xml:space="preserve"> les occupations et constructions portant atteinte à l'environnement et illégales en zone naturelle</w:t>
            </w:r>
            <w:r w:rsidR="005051F4" w:rsidRPr="00606755">
              <w:rPr>
                <w:rFonts w:ascii="Century Gothic" w:hAnsi="Century Gothic"/>
                <w:color w:val="E9571C"/>
                <w:sz w:val="18"/>
                <w:szCs w:val="18"/>
              </w:rPr>
              <w:t>.</w:t>
            </w:r>
          </w:p>
          <w:p w14:paraId="6B34A9C0" w14:textId="4700F129" w:rsidR="009A3916" w:rsidRPr="00CB02D9" w:rsidRDefault="009A3916" w:rsidP="00157DA2">
            <w:pPr>
              <w:pStyle w:val="Paragraphedeliste"/>
              <w:numPr>
                <w:ilvl w:val="0"/>
                <w:numId w:val="6"/>
              </w:numPr>
              <w:spacing w:after="120" w:line="360" w:lineRule="auto"/>
              <w:ind w:left="344" w:hanging="284"/>
              <w:rPr>
                <w:rFonts w:ascii="Century Gothic" w:hAnsi="Century Gothic"/>
              </w:rPr>
            </w:pPr>
            <w:r w:rsidRPr="00606755">
              <w:rPr>
                <w:rFonts w:ascii="Century Gothic" w:hAnsi="Century Gothic"/>
                <w:b/>
                <w:bCs/>
                <w:i/>
                <w:iCs/>
                <w:color w:val="E9571C"/>
                <w:sz w:val="18"/>
              </w:rPr>
              <w:t>Accompagner</w:t>
            </w:r>
            <w:r w:rsidRPr="00606755">
              <w:rPr>
                <w:rFonts w:ascii="Century Gothic" w:hAnsi="Century Gothic"/>
                <w:b/>
                <w:bCs/>
                <w:i/>
                <w:iCs/>
                <w:color w:val="E9571C"/>
                <w:sz w:val="18"/>
                <w:szCs w:val="18"/>
              </w:rPr>
              <w:t xml:space="preserve"> la transmission.</w:t>
            </w:r>
          </w:p>
        </w:tc>
      </w:tr>
      <w:tr w:rsidR="001808DC" w:rsidRPr="00CB02D9" w14:paraId="7655D172" w14:textId="77777777" w:rsidTr="00951603">
        <w:trPr>
          <w:trHeight w:val="60"/>
        </w:trPr>
        <w:tc>
          <w:tcPr>
            <w:tcW w:w="9303" w:type="dxa"/>
            <w:gridSpan w:val="4"/>
            <w:tcBorders>
              <w:top w:val="single" w:sz="4" w:space="0" w:color="auto"/>
            </w:tcBorders>
          </w:tcPr>
          <w:p w14:paraId="051E4BFD" w14:textId="1BAEEEEB" w:rsidR="001808DC" w:rsidRPr="00CB02D9" w:rsidRDefault="001808DC" w:rsidP="001808DC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>Montage</w:t>
            </w:r>
          </w:p>
        </w:tc>
      </w:tr>
      <w:tr w:rsidR="000D743A" w:rsidRPr="005051F4" w14:paraId="063E3CA7" w14:textId="77777777" w:rsidTr="0046087F">
        <w:trPr>
          <w:trHeight w:val="60"/>
        </w:trPr>
        <w:tc>
          <w:tcPr>
            <w:tcW w:w="9303" w:type="dxa"/>
            <w:gridSpan w:val="4"/>
          </w:tcPr>
          <w:p w14:paraId="221B23EF" w14:textId="7E3FB209" w:rsidR="000D743A" w:rsidRPr="00DC38B8" w:rsidRDefault="000D743A" w:rsidP="001808DC">
            <w:pPr>
              <w:spacing w:line="360" w:lineRule="auto"/>
              <w:ind w:right="-108"/>
              <w:rPr>
                <w:rFonts w:ascii="Century Gothic" w:hAnsi="Century Gothic"/>
                <w:sz w:val="18"/>
                <w:szCs w:val="18"/>
              </w:rPr>
            </w:pPr>
            <w:r w:rsidRPr="00DC38B8">
              <w:rPr>
                <w:rFonts w:ascii="Century Gothic" w:hAnsi="Century Gothic"/>
                <w:sz w:val="18"/>
                <w:szCs w:val="18"/>
              </w:rPr>
              <w:t xml:space="preserve">Pilote de l’action : </w:t>
            </w:r>
            <w:r w:rsidR="00B1103E">
              <w:rPr>
                <w:rFonts w:ascii="Century Gothic" w:hAnsi="Century Gothic"/>
                <w:sz w:val="18"/>
                <w:szCs w:val="18"/>
              </w:rPr>
              <w:t xml:space="preserve">Département et </w:t>
            </w:r>
            <w:r>
              <w:rPr>
                <w:rFonts w:ascii="Century Gothic" w:hAnsi="Century Gothic"/>
                <w:sz w:val="18"/>
                <w:szCs w:val="18"/>
              </w:rPr>
              <w:t>Commune</w:t>
            </w:r>
          </w:p>
        </w:tc>
      </w:tr>
      <w:tr w:rsidR="0030327C" w:rsidRPr="00410A70" w14:paraId="2EDF675D" w14:textId="77777777" w:rsidTr="007C346A">
        <w:trPr>
          <w:trHeight w:val="60"/>
        </w:trPr>
        <w:tc>
          <w:tcPr>
            <w:tcW w:w="9303" w:type="dxa"/>
            <w:gridSpan w:val="4"/>
          </w:tcPr>
          <w:p w14:paraId="14B4106C" w14:textId="77777777" w:rsidR="00EC3CF6" w:rsidRDefault="0030327C" w:rsidP="001808DC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B1103E">
              <w:rPr>
                <w:rFonts w:ascii="Century Gothic" w:hAnsi="Century Gothic"/>
                <w:sz w:val="18"/>
                <w:szCs w:val="18"/>
              </w:rPr>
              <w:t>Partenaires :</w:t>
            </w:r>
          </w:p>
          <w:p w14:paraId="1A77B115" w14:textId="77777777" w:rsidR="00160A32" w:rsidRPr="00A37217" w:rsidRDefault="00EC3CF6" w:rsidP="00A37217">
            <w:pPr>
              <w:pStyle w:val="Paragraphedeliste"/>
              <w:numPr>
                <w:ilvl w:val="0"/>
                <w:numId w:val="7"/>
              </w:num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37217">
              <w:rPr>
                <w:rFonts w:ascii="Century Gothic" w:hAnsi="Century Gothic"/>
                <w:sz w:val="18"/>
                <w:szCs w:val="18"/>
              </w:rPr>
              <w:t>U</w:t>
            </w:r>
            <w:r w:rsidR="0025344C" w:rsidRPr="00A37217">
              <w:rPr>
                <w:rFonts w:ascii="Century Gothic" w:hAnsi="Century Gothic"/>
                <w:sz w:val="18"/>
                <w:szCs w:val="18"/>
              </w:rPr>
              <w:t xml:space="preserve">n partenaire financier qui puisse porter le foncier et le </w:t>
            </w:r>
            <w:r w:rsidR="005B08A4" w:rsidRPr="00A37217">
              <w:rPr>
                <w:rFonts w:ascii="Century Gothic" w:hAnsi="Century Gothic"/>
                <w:sz w:val="18"/>
                <w:szCs w:val="18"/>
              </w:rPr>
              <w:t>bâti</w:t>
            </w:r>
            <w:r w:rsidR="0025344C" w:rsidRPr="00A37217">
              <w:rPr>
                <w:rFonts w:ascii="Century Gothic" w:hAnsi="Century Gothic"/>
                <w:sz w:val="18"/>
                <w:szCs w:val="18"/>
              </w:rPr>
              <w:t xml:space="preserve"> serait </w:t>
            </w:r>
            <w:r w:rsidR="00BF5E4E" w:rsidRPr="00A37217">
              <w:rPr>
                <w:rFonts w:ascii="Century Gothic" w:hAnsi="Century Gothic"/>
                <w:sz w:val="18"/>
                <w:szCs w:val="18"/>
              </w:rPr>
              <w:t>à déterminer</w:t>
            </w:r>
            <w:r w:rsidR="00160A32" w:rsidRPr="00A37217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199D869C" w14:textId="5663D50F" w:rsidR="00A37217" w:rsidRPr="00A37217" w:rsidRDefault="00160A32" w:rsidP="00A37217">
            <w:pPr>
              <w:pStyle w:val="Paragraphedeliste"/>
              <w:numPr>
                <w:ilvl w:val="0"/>
                <w:numId w:val="7"/>
              </w:num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37217">
              <w:rPr>
                <w:rFonts w:ascii="Century Gothic" w:hAnsi="Century Gothic"/>
                <w:sz w:val="18"/>
                <w:szCs w:val="18"/>
              </w:rPr>
              <w:t xml:space="preserve">Pour la partie veille, </w:t>
            </w:r>
            <w:r w:rsidR="00997E87" w:rsidRPr="00A37217">
              <w:rPr>
                <w:rFonts w:ascii="Century Gothic" w:hAnsi="Century Gothic"/>
                <w:sz w:val="18"/>
                <w:szCs w:val="18"/>
              </w:rPr>
              <w:t>C</w:t>
            </w:r>
            <w:r w:rsidR="005C0247" w:rsidRPr="00A37217">
              <w:rPr>
                <w:rFonts w:ascii="Century Gothic" w:hAnsi="Century Gothic"/>
                <w:sz w:val="18"/>
                <w:szCs w:val="18"/>
              </w:rPr>
              <w:t xml:space="preserve">ommune </w:t>
            </w:r>
            <w:r w:rsidR="00997E87" w:rsidRPr="00A37217">
              <w:rPr>
                <w:rFonts w:ascii="Century Gothic" w:hAnsi="Century Gothic"/>
                <w:sz w:val="18"/>
                <w:szCs w:val="18"/>
              </w:rPr>
              <w:t>et Département (</w:t>
            </w:r>
            <w:proofErr w:type="spellStart"/>
            <w:r w:rsidR="00997E87" w:rsidRPr="00A37217">
              <w:rPr>
                <w:rFonts w:ascii="Century Gothic" w:hAnsi="Century Gothic"/>
                <w:sz w:val="18"/>
                <w:szCs w:val="18"/>
              </w:rPr>
              <w:t>Vigifoncier</w:t>
            </w:r>
            <w:proofErr w:type="spellEnd"/>
            <w:r w:rsidR="00997E87" w:rsidRPr="00A37217">
              <w:rPr>
                <w:rFonts w:ascii="Century Gothic" w:hAnsi="Century Gothic"/>
                <w:sz w:val="18"/>
                <w:szCs w:val="18"/>
              </w:rPr>
              <w:t xml:space="preserve">) avec </w:t>
            </w:r>
            <w:r w:rsidR="00A37217" w:rsidRPr="00A37217">
              <w:rPr>
                <w:rFonts w:ascii="Century Gothic" w:hAnsi="Century Gothic"/>
                <w:sz w:val="18"/>
                <w:szCs w:val="18"/>
              </w:rPr>
              <w:t xml:space="preserve">la </w:t>
            </w:r>
            <w:r w:rsidR="00997E87" w:rsidRPr="00A37217">
              <w:rPr>
                <w:rFonts w:ascii="Century Gothic" w:hAnsi="Century Gothic"/>
                <w:sz w:val="18"/>
                <w:szCs w:val="18"/>
              </w:rPr>
              <w:t>SAFER</w:t>
            </w:r>
            <w:r w:rsidR="00A37217" w:rsidRPr="00A37217">
              <w:rPr>
                <w:rFonts w:ascii="Century Gothic" w:hAnsi="Century Gothic"/>
                <w:sz w:val="18"/>
                <w:szCs w:val="18"/>
              </w:rPr>
              <w:t xml:space="preserve"> qui reste à organiser.</w:t>
            </w:r>
          </w:p>
          <w:p w14:paraId="404BEC73" w14:textId="77777777" w:rsidR="0030327C" w:rsidRPr="00A97A3D" w:rsidRDefault="0025344C" w:rsidP="00A37217">
            <w:pPr>
              <w:pStyle w:val="Paragraphedeliste"/>
              <w:numPr>
                <w:ilvl w:val="0"/>
                <w:numId w:val="7"/>
              </w:num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37217">
              <w:rPr>
                <w:rFonts w:ascii="Century Gothic" w:hAnsi="Century Gothic"/>
                <w:sz w:val="18"/>
                <w:szCs w:val="18"/>
              </w:rPr>
              <w:t>AGORAH sur le recensement des bâtis et de leurs usages</w:t>
            </w:r>
            <w:r w:rsidR="00511B6A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1CA98852" w14:textId="6F19CDC3" w:rsidR="00A97A3D" w:rsidRPr="00A37217" w:rsidRDefault="00D30929" w:rsidP="00A37217">
            <w:pPr>
              <w:pStyle w:val="Paragraphedeliste"/>
              <w:numPr>
                <w:ilvl w:val="0"/>
                <w:numId w:val="7"/>
              </w:num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2E695C">
              <w:rPr>
                <w:rFonts w:ascii="Century Gothic" w:hAnsi="Century Gothic"/>
                <w:color w:val="EE0000"/>
                <w:sz w:val="18"/>
                <w:szCs w:val="18"/>
              </w:rPr>
              <w:t xml:space="preserve">Etat pour la </w:t>
            </w:r>
            <w:r w:rsidR="002E695C" w:rsidRPr="002E695C">
              <w:rPr>
                <w:rFonts w:ascii="Century Gothic" w:hAnsi="Century Gothic"/>
                <w:color w:val="EE0000"/>
                <w:sz w:val="18"/>
                <w:szCs w:val="18"/>
              </w:rPr>
              <w:t>verbalisation et l’action en justice</w:t>
            </w:r>
            <w:r w:rsidR="002E695C">
              <w:rPr>
                <w:rFonts w:ascii="Century Gothic" w:hAnsi="Century Gothic"/>
                <w:color w:val="EE0000"/>
                <w:sz w:val="18"/>
                <w:szCs w:val="18"/>
              </w:rPr>
              <w:t>.</w:t>
            </w:r>
          </w:p>
        </w:tc>
      </w:tr>
      <w:tr w:rsidR="0030327C" w:rsidRPr="00410A70" w14:paraId="4B0C1B9B" w14:textId="77777777" w:rsidTr="00CD4CC3">
        <w:trPr>
          <w:trHeight w:val="60"/>
        </w:trPr>
        <w:tc>
          <w:tcPr>
            <w:tcW w:w="9303" w:type="dxa"/>
            <w:gridSpan w:val="4"/>
            <w:tcBorders>
              <w:bottom w:val="single" w:sz="4" w:space="0" w:color="auto"/>
            </w:tcBorders>
          </w:tcPr>
          <w:p w14:paraId="026DD835" w14:textId="03516AB5" w:rsidR="0030327C" w:rsidRPr="00410A70" w:rsidRDefault="0030327C" w:rsidP="001808DC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B1103E">
              <w:rPr>
                <w:rFonts w:ascii="Century Gothic" w:hAnsi="Century Gothic"/>
                <w:sz w:val="18"/>
                <w:szCs w:val="18"/>
              </w:rPr>
              <w:t xml:space="preserve">Outils réglementaires ou contractuels : </w:t>
            </w:r>
            <w:r w:rsidR="00000EA1" w:rsidRPr="00B1103E">
              <w:rPr>
                <w:rFonts w:ascii="Century Gothic" w:hAnsi="Century Gothic"/>
                <w:sz w:val="18"/>
                <w:szCs w:val="18"/>
              </w:rPr>
              <w:t>veille foncière SAFER (convention) mise en pratique du droit de préemption du Département</w:t>
            </w:r>
          </w:p>
        </w:tc>
      </w:tr>
      <w:tr w:rsidR="00056FF0" w:rsidRPr="00CB02D9" w14:paraId="47923223" w14:textId="77777777" w:rsidTr="00CD4CC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A883" w14:textId="1CD17E9A" w:rsidR="00056FF0" w:rsidRPr="00CB02D9" w:rsidRDefault="00056FF0" w:rsidP="001808DC">
            <w:pPr>
              <w:spacing w:line="360" w:lineRule="auto"/>
              <w:rPr>
                <w:rFonts w:ascii="Century Gothic" w:hAnsi="Century Gothic"/>
              </w:rPr>
            </w:pPr>
            <w:r w:rsidRPr="00CB02D9">
              <w:rPr>
                <w:rFonts w:ascii="Century Gothic" w:hAnsi="Century Gothic"/>
                <w:b/>
                <w:bCs/>
              </w:rPr>
              <w:t>Calendrier et phasage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24C7" w14:textId="31C61A9C" w:rsidR="00056FF0" w:rsidRPr="00CB02D9" w:rsidRDefault="005C3836" w:rsidP="001808DC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  <w:instrText xml:space="preserve"> FORMCHECKBOX </w:instrText>
            </w: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</w: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  <w:fldChar w:fldCharType="separate"/>
            </w:r>
            <w:r>
              <w:rPr>
                <w:rFonts w:ascii="Century Gothic" w:eastAsia="Calibri" w:hAnsi="Century Gothic" w:cs="Times New Roman"/>
                <w:color w:val="7D7E7F"/>
                <w:sz w:val="16"/>
                <w:lang w:eastAsia="en-US"/>
              </w:rPr>
              <w:fldChar w:fldCharType="end"/>
            </w:r>
            <w:r w:rsidR="00056FF0" w:rsidRPr="00421C6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D64F8A" w:rsidRPr="00CB02D9">
              <w:rPr>
                <w:rFonts w:ascii="Century Gothic" w:hAnsi="Century Gothic"/>
              </w:rPr>
              <w:t>Court</w:t>
            </w:r>
            <w:r w:rsidR="00056FF0" w:rsidRPr="00CB02D9">
              <w:rPr>
                <w:rFonts w:ascii="Century Gothic" w:hAnsi="Century Gothic"/>
              </w:rPr>
              <w:t xml:space="preserve"> terme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CA7A" w14:textId="66EEC7D7" w:rsidR="00056FF0" w:rsidRPr="00CB02D9" w:rsidRDefault="006D6126" w:rsidP="001808DC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</w:r>
            <w:r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end"/>
            </w:r>
            <w:r w:rsidR="00056FF0">
              <w:rPr>
                <w:rFonts w:ascii="Century Gothic" w:hAnsi="Century Gothic"/>
              </w:rPr>
              <w:t xml:space="preserve"> </w:t>
            </w:r>
            <w:r w:rsidR="00D64F8A" w:rsidRPr="00CB02D9">
              <w:rPr>
                <w:rFonts w:ascii="Century Gothic" w:hAnsi="Century Gothic"/>
              </w:rPr>
              <w:t>Moyen</w:t>
            </w:r>
            <w:r w:rsidR="005C3836">
              <w:rPr>
                <w:rFonts w:ascii="Century Gothic" w:hAnsi="Century Gothic"/>
              </w:rPr>
              <w:t xml:space="preserve"> </w:t>
            </w:r>
            <w:r w:rsidR="00056FF0" w:rsidRPr="00CB02D9">
              <w:rPr>
                <w:rFonts w:ascii="Century Gothic" w:hAnsi="Century Gothic"/>
              </w:rPr>
              <w:t>terme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765A" w14:textId="0633578D" w:rsidR="00056FF0" w:rsidRPr="00CB02D9" w:rsidRDefault="006D6126" w:rsidP="001808DC">
            <w:pPr>
              <w:spacing w:line="360" w:lineRule="auto"/>
              <w:ind w:left="80" w:hanging="80"/>
              <w:rPr>
                <w:rFonts w:ascii="Century Gothic" w:hAnsi="Century Gothic"/>
              </w:rPr>
            </w:pPr>
            <w:r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</w:r>
            <w:r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fldChar w:fldCharType="end"/>
            </w:r>
            <w:r w:rsidR="00421C67">
              <w:rPr>
                <w:rFonts w:ascii="Century Gothic" w:eastAsia="Calibri" w:hAnsi="Century Gothic" w:cs="Times New Roman"/>
                <w:color w:val="7D7E7F"/>
                <w:sz w:val="18"/>
                <w:szCs w:val="22"/>
                <w:lang w:eastAsia="en-US"/>
              </w:rPr>
              <w:t xml:space="preserve"> </w:t>
            </w:r>
            <w:r w:rsidR="00D64F8A" w:rsidRPr="00CB02D9">
              <w:rPr>
                <w:rFonts w:ascii="Century Gothic" w:hAnsi="Century Gothic"/>
              </w:rPr>
              <w:t>Long</w:t>
            </w:r>
            <w:r w:rsidR="00056FF0" w:rsidRPr="00CB02D9">
              <w:rPr>
                <w:rFonts w:ascii="Century Gothic" w:hAnsi="Century Gothic"/>
              </w:rPr>
              <w:t xml:space="preserve"> terme</w:t>
            </w:r>
          </w:p>
        </w:tc>
      </w:tr>
      <w:tr w:rsidR="00C541C0" w:rsidRPr="00CB02D9" w14:paraId="6FA0D6D4" w14:textId="77777777" w:rsidTr="00CD4CC3">
        <w:trPr>
          <w:trHeight w:val="283"/>
        </w:trPr>
        <w:tc>
          <w:tcPr>
            <w:tcW w:w="4978" w:type="dxa"/>
            <w:gridSpan w:val="2"/>
            <w:tcBorders>
              <w:top w:val="single" w:sz="4" w:space="0" w:color="auto"/>
            </w:tcBorders>
          </w:tcPr>
          <w:p w14:paraId="0ED2B4F1" w14:textId="516A47BC" w:rsidR="00C541C0" w:rsidRPr="00CB02D9" w:rsidRDefault="005F2979" w:rsidP="001808DC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CB02D9">
              <w:rPr>
                <w:rFonts w:ascii="Century Gothic" w:hAnsi="Century Gothic"/>
                <w:b/>
                <w:bCs/>
              </w:rPr>
              <w:t>Coût et financ</w:t>
            </w:r>
            <w:r w:rsidR="00C541C0" w:rsidRPr="00CB02D9">
              <w:rPr>
                <w:rFonts w:ascii="Century Gothic" w:hAnsi="Century Gothic"/>
                <w:b/>
                <w:bCs/>
              </w:rPr>
              <w:t>ement</w:t>
            </w:r>
            <w:r w:rsidR="00717BF8" w:rsidRPr="00CB02D9">
              <w:rPr>
                <w:rFonts w:ascii="Century Gothic" w:hAnsi="Century Gothic"/>
                <w:b/>
                <w:bCs/>
              </w:rPr>
              <w:t xml:space="preserve"> </w:t>
            </w:r>
            <w:r w:rsidR="00717BF8" w:rsidRPr="00CB02D9">
              <w:rPr>
                <w:rFonts w:ascii="Century Gothic" w:hAnsi="Century Gothic"/>
              </w:rPr>
              <w:t>(en € H.T.)</w:t>
            </w:r>
          </w:p>
        </w:tc>
        <w:tc>
          <w:tcPr>
            <w:tcW w:w="4325" w:type="dxa"/>
            <w:gridSpan w:val="2"/>
            <w:tcBorders>
              <w:top w:val="single" w:sz="4" w:space="0" w:color="auto"/>
            </w:tcBorders>
          </w:tcPr>
          <w:p w14:paraId="3B5965BD" w14:textId="1DF7135F" w:rsidR="003B786E" w:rsidRPr="00CB02D9" w:rsidRDefault="00C541C0" w:rsidP="00812FF4">
            <w:pPr>
              <w:spacing w:line="360" w:lineRule="auto"/>
              <w:jc w:val="left"/>
              <w:rPr>
                <w:rFonts w:ascii="Century Gothic" w:hAnsi="Century Gothic"/>
              </w:rPr>
            </w:pPr>
            <w:r w:rsidRPr="00410A70">
              <w:rPr>
                <w:rFonts w:ascii="Century Gothic" w:hAnsi="Century Gothic"/>
                <w:sz w:val="18"/>
                <w:szCs w:val="18"/>
              </w:rPr>
              <w:t>Coût</w:t>
            </w:r>
            <w:r w:rsidR="004C71B6" w:rsidRPr="00410A70">
              <w:rPr>
                <w:rFonts w:ascii="Century Gothic" w:hAnsi="Century Gothic"/>
                <w:sz w:val="18"/>
                <w:szCs w:val="18"/>
              </w:rPr>
              <w:t>s</w:t>
            </w:r>
            <w:r w:rsidRPr="00410A70">
              <w:rPr>
                <w:rFonts w:ascii="Century Gothic" w:hAnsi="Century Gothic"/>
                <w:sz w:val="18"/>
                <w:szCs w:val="18"/>
              </w:rPr>
              <w:t> :</w:t>
            </w:r>
            <w:r w:rsidR="00717BF8" w:rsidRPr="00410A70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C541C0" w:rsidRPr="00CB02D9" w14:paraId="3CB21209" w14:textId="77777777" w:rsidTr="00CD4CC3">
        <w:tc>
          <w:tcPr>
            <w:tcW w:w="9303" w:type="dxa"/>
            <w:gridSpan w:val="4"/>
            <w:tcBorders>
              <w:bottom w:val="single" w:sz="4" w:space="0" w:color="auto"/>
            </w:tcBorders>
          </w:tcPr>
          <w:p w14:paraId="7BCAA689" w14:textId="77777777" w:rsidR="003B786E" w:rsidRDefault="00DE4499" w:rsidP="009914A2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DE4499">
              <w:rPr>
                <w:rFonts w:ascii="Century Gothic" w:hAnsi="Century Gothic"/>
                <w:sz w:val="18"/>
                <w:szCs w:val="18"/>
              </w:rPr>
              <w:t>Financements potentiellement mobilisables</w:t>
            </w:r>
          </w:p>
          <w:p w14:paraId="0C232E40" w14:textId="2C770C81" w:rsidR="00DE4499" w:rsidRPr="00CB02D9" w:rsidRDefault="00DE4499" w:rsidP="009914A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CD4CC3" w:rsidRPr="00CB02D9" w14:paraId="68F22057" w14:textId="77777777" w:rsidTr="00CD4CC3">
        <w:tc>
          <w:tcPr>
            <w:tcW w:w="9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2F00" w14:textId="77777777" w:rsidR="00812771" w:rsidRPr="000D7B05" w:rsidRDefault="00812771" w:rsidP="00812771">
            <w:pPr>
              <w:spacing w:after="120" w:line="36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D7B05">
              <w:rPr>
                <w:rFonts w:ascii="Century Gothic" w:hAnsi="Century Gothic"/>
                <w:b/>
                <w:bCs/>
                <w:sz w:val="18"/>
                <w:szCs w:val="18"/>
              </w:rPr>
              <w:t>Indicateurs de suivi et d’évaluation</w:t>
            </w:r>
          </w:p>
          <w:p w14:paraId="0CB60139" w14:textId="67AB419C" w:rsidR="00812771" w:rsidRDefault="00633BBE" w:rsidP="00812771">
            <w:pPr>
              <w:pStyle w:val="Paragraphedeliste"/>
              <w:numPr>
                <w:ilvl w:val="0"/>
                <w:numId w:val="5"/>
              </w:numPr>
              <w:spacing w:line="360" w:lineRule="auto"/>
              <w:ind w:left="776" w:hanging="284"/>
              <w:rPr>
                <w:rFonts w:ascii="Century Gothic" w:hAnsi="Century Gothic"/>
                <w:sz w:val="18"/>
                <w:szCs w:val="18"/>
              </w:rPr>
            </w:pPr>
            <w:r w:rsidRPr="00633BBE">
              <w:rPr>
                <w:rFonts w:ascii="Century Gothic" w:hAnsi="Century Gothic"/>
                <w:sz w:val="18"/>
                <w:szCs w:val="18"/>
              </w:rPr>
              <w:t>Nombre de DIA transmises et traitées</w:t>
            </w:r>
            <w:r w:rsidR="00812771" w:rsidRPr="00633BBE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274A502A" w14:textId="4BAED82F" w:rsidR="00CD4CC3" w:rsidRPr="00410A70" w:rsidRDefault="003801D2" w:rsidP="003801D2">
            <w:pPr>
              <w:pStyle w:val="Paragraphedeliste"/>
              <w:numPr>
                <w:ilvl w:val="0"/>
                <w:numId w:val="5"/>
              </w:numPr>
              <w:spacing w:line="360" w:lineRule="auto"/>
              <w:ind w:left="776" w:hanging="28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Montant des financements mobilisés.</w:t>
            </w:r>
          </w:p>
        </w:tc>
      </w:tr>
    </w:tbl>
    <w:p w14:paraId="166AB35F" w14:textId="7FB62FE9" w:rsidR="00C541C0" w:rsidRPr="00CB02D9" w:rsidRDefault="00C541C0" w:rsidP="009D74A6">
      <w:pPr>
        <w:tabs>
          <w:tab w:val="left" w:pos="7455"/>
        </w:tabs>
        <w:rPr>
          <w:rFonts w:ascii="Century Gothic" w:hAnsi="Century Gothic"/>
        </w:rPr>
      </w:pPr>
    </w:p>
    <w:sectPr w:rsidR="00C541C0" w:rsidRPr="00CB02D9" w:rsidSect="00923E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9943B" w14:textId="77777777" w:rsidR="0027147D" w:rsidRDefault="0027147D">
      <w:r>
        <w:separator/>
      </w:r>
    </w:p>
  </w:endnote>
  <w:endnote w:type="continuationSeparator" w:id="0">
    <w:p w14:paraId="52C94FA4" w14:textId="77777777" w:rsidR="0027147D" w:rsidRDefault="0027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L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243E" w14:textId="77777777" w:rsidR="00E40C0F" w:rsidRDefault="00E40C0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8733" w14:textId="39D67DA9" w:rsidR="00CA6894" w:rsidRPr="00CB02D9" w:rsidRDefault="00CB02D9" w:rsidP="00CB02D9">
    <w:pPr>
      <w:pStyle w:val="Pieddepage"/>
      <w:pBdr>
        <w:top w:val="single" w:sz="4" w:space="1" w:color="auto"/>
      </w:pBdr>
      <w:rPr>
        <w:rFonts w:ascii="Century Gothic" w:hAnsi="Century Gothic"/>
        <w:i/>
        <w:iCs/>
      </w:rPr>
    </w:pPr>
    <w:r w:rsidRPr="00CB02D9">
      <w:rPr>
        <w:rFonts w:ascii="Century Gothic" w:hAnsi="Century Gothic"/>
        <w:i/>
        <w:iCs/>
      </w:rPr>
      <w:fldChar w:fldCharType="begin"/>
    </w:r>
    <w:r w:rsidRPr="00CB02D9">
      <w:rPr>
        <w:rFonts w:ascii="Century Gothic" w:hAnsi="Century Gothic"/>
        <w:i/>
        <w:iCs/>
      </w:rPr>
      <w:instrText xml:space="preserve"> FILENAME   \* MERGEFORMAT </w:instrText>
    </w:r>
    <w:r w:rsidRPr="00CB02D9">
      <w:rPr>
        <w:rFonts w:ascii="Century Gothic" w:hAnsi="Century Gothic"/>
        <w:i/>
        <w:iCs/>
      </w:rPr>
      <w:fldChar w:fldCharType="separate"/>
    </w:r>
    <w:r w:rsidR="00E40C0F">
      <w:rPr>
        <w:rFonts w:ascii="Century Gothic" w:hAnsi="Century Gothic"/>
        <w:i/>
        <w:iCs/>
        <w:noProof/>
      </w:rPr>
      <w:t>Fiche action 6 - Construction non agricole_260301.docx</w:t>
    </w:r>
    <w:r w:rsidRPr="00CB02D9">
      <w:rPr>
        <w:rFonts w:ascii="Century Gothic" w:hAnsi="Century Gothic"/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A9DA" w14:textId="77777777" w:rsidR="00E40C0F" w:rsidRDefault="00E40C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72A2C" w14:textId="77777777" w:rsidR="0027147D" w:rsidRDefault="0027147D">
      <w:r>
        <w:separator/>
      </w:r>
    </w:p>
  </w:footnote>
  <w:footnote w:type="continuationSeparator" w:id="0">
    <w:p w14:paraId="0CE8B788" w14:textId="77777777" w:rsidR="0027147D" w:rsidRDefault="00271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C687B" w14:textId="77777777" w:rsidR="00E40C0F" w:rsidRDefault="00E40C0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E206" w14:textId="440BDA44" w:rsidR="000852E0" w:rsidRPr="00CB02D9" w:rsidRDefault="000852E0" w:rsidP="00056FF0">
    <w:pPr>
      <w:pStyle w:val="Pieddepage"/>
      <w:pBdr>
        <w:top w:val="single" w:sz="4" w:space="1" w:color="auto"/>
      </w:pBdr>
      <w:tabs>
        <w:tab w:val="clear" w:pos="9072"/>
        <w:tab w:val="right" w:pos="9180"/>
      </w:tabs>
      <w:jc w:val="left"/>
      <w:rPr>
        <w:rFonts w:ascii="Century Gothic" w:hAnsi="Century Gothic"/>
        <w:color w:val="7D7E7F"/>
      </w:rPr>
    </w:pPr>
    <w:r w:rsidRPr="00CB02D9">
      <w:rPr>
        <w:rFonts w:ascii="Century Gothic" w:hAnsi="Century Gothic"/>
        <w:b/>
        <w:i/>
        <w:color w:val="7D7E7F"/>
      </w:rPr>
      <w:t>Plan d</w:t>
    </w:r>
    <w:r w:rsidR="00CA6894" w:rsidRPr="00CB02D9">
      <w:rPr>
        <w:rFonts w:ascii="Century Gothic" w:hAnsi="Century Gothic"/>
        <w:b/>
        <w:i/>
        <w:color w:val="7D7E7F"/>
      </w:rPr>
      <w:t xml:space="preserve">’actions </w:t>
    </w:r>
    <w:r w:rsidRPr="00CB02D9">
      <w:rPr>
        <w:rFonts w:ascii="Century Gothic" w:hAnsi="Century Gothic"/>
        <w:b/>
        <w:i/>
        <w:color w:val="7D7E7F"/>
      </w:rPr>
      <w:t xml:space="preserve">du PAEN </w:t>
    </w:r>
    <w:r w:rsidR="00CA6894" w:rsidRPr="00CB02D9">
      <w:rPr>
        <w:rFonts w:ascii="Century Gothic" w:hAnsi="Century Gothic"/>
        <w:b/>
        <w:i/>
        <w:color w:val="7D7E7F"/>
      </w:rPr>
      <w:t xml:space="preserve">de </w:t>
    </w:r>
    <w:r w:rsidR="009914A2">
      <w:rPr>
        <w:rFonts w:ascii="Century Gothic" w:hAnsi="Century Gothic"/>
        <w:b/>
        <w:i/>
        <w:color w:val="7D7E7F"/>
      </w:rPr>
      <w:t>La Possession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1AAE" w14:textId="77777777" w:rsidR="00E40C0F" w:rsidRDefault="00E40C0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A17FA"/>
    <w:multiLevelType w:val="hybridMultilevel"/>
    <w:tmpl w:val="A25E9FFC"/>
    <w:lvl w:ilvl="0" w:tplc="430813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E9571C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4908C6"/>
    <w:multiLevelType w:val="hybridMultilevel"/>
    <w:tmpl w:val="450A224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C069C5"/>
    <w:multiLevelType w:val="hybridMultilevel"/>
    <w:tmpl w:val="D3C49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659B3"/>
    <w:multiLevelType w:val="hybridMultilevel"/>
    <w:tmpl w:val="0EF669EA"/>
    <w:lvl w:ilvl="0" w:tplc="24E607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utura Lt BT" w:eastAsia="Times New Roman" w:hAnsi="Futura Lt BT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D0B80"/>
    <w:multiLevelType w:val="hybridMultilevel"/>
    <w:tmpl w:val="B3624E42"/>
    <w:lvl w:ilvl="0" w:tplc="AE50D7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E9571C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425D6"/>
    <w:multiLevelType w:val="hybridMultilevel"/>
    <w:tmpl w:val="9D94DC2C"/>
    <w:lvl w:ilvl="0" w:tplc="73087ECE">
      <w:start w:val="1"/>
      <w:numFmt w:val="upperRoman"/>
      <w:lvlText w:val="%1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1" w:tplc="31EC8884">
      <w:start w:val="1"/>
      <w:numFmt w:val="upperLetter"/>
      <w:lvlText w:val="%2."/>
      <w:lvlJc w:val="left"/>
      <w:pPr>
        <w:tabs>
          <w:tab w:val="num" w:pos="1647"/>
        </w:tabs>
        <w:ind w:left="1647" w:hanging="360"/>
      </w:pPr>
      <w:rPr>
        <w:rFonts w:hint="default"/>
        <w:u w:val="none"/>
      </w:rPr>
    </w:lvl>
    <w:lvl w:ilvl="2" w:tplc="CEA4E702">
      <w:start w:val="1"/>
      <w:numFmt w:val="bullet"/>
      <w:lvlText w:val=""/>
      <w:lvlJc w:val="left"/>
      <w:pPr>
        <w:tabs>
          <w:tab w:val="num" w:pos="2547"/>
        </w:tabs>
        <w:ind w:left="2187" w:firstLine="0"/>
      </w:pPr>
      <w:rPr>
        <w:rFonts w:ascii="Symbol" w:hAnsi="Symbol" w:hint="default"/>
      </w:rPr>
    </w:lvl>
    <w:lvl w:ilvl="3" w:tplc="F2D8CDD6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2CE4953E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E15AFC2E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78E278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C8663B4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85B26AD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2144540235">
    <w:abstractNumId w:val="5"/>
  </w:num>
  <w:num w:numId="2" w16cid:durableId="406613912">
    <w:abstractNumId w:val="5"/>
  </w:num>
  <w:num w:numId="3" w16cid:durableId="1429422864">
    <w:abstractNumId w:val="3"/>
  </w:num>
  <w:num w:numId="4" w16cid:durableId="1769496291">
    <w:abstractNumId w:val="4"/>
  </w:num>
  <w:num w:numId="5" w16cid:durableId="176890375">
    <w:abstractNumId w:val="1"/>
  </w:num>
  <w:num w:numId="6" w16cid:durableId="1542355756">
    <w:abstractNumId w:val="0"/>
  </w:num>
  <w:num w:numId="7" w16cid:durableId="666439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CA"/>
    <w:rsid w:val="00000EA1"/>
    <w:rsid w:val="00024505"/>
    <w:rsid w:val="00056FF0"/>
    <w:rsid w:val="00061CA6"/>
    <w:rsid w:val="00070BA4"/>
    <w:rsid w:val="00072606"/>
    <w:rsid w:val="00073C87"/>
    <w:rsid w:val="00075EFF"/>
    <w:rsid w:val="00081F2B"/>
    <w:rsid w:val="000852E0"/>
    <w:rsid w:val="00085C2C"/>
    <w:rsid w:val="00086DCD"/>
    <w:rsid w:val="00097BD4"/>
    <w:rsid w:val="000A5C26"/>
    <w:rsid w:val="000B32C2"/>
    <w:rsid w:val="000D743A"/>
    <w:rsid w:val="000E370C"/>
    <w:rsid w:val="000E3BCA"/>
    <w:rsid w:val="00110A91"/>
    <w:rsid w:val="00115FDD"/>
    <w:rsid w:val="00141B93"/>
    <w:rsid w:val="00157DA2"/>
    <w:rsid w:val="00160A32"/>
    <w:rsid w:val="00173737"/>
    <w:rsid w:val="001808DC"/>
    <w:rsid w:val="001874A0"/>
    <w:rsid w:val="001A79D2"/>
    <w:rsid w:val="001B30E5"/>
    <w:rsid w:val="001B62F1"/>
    <w:rsid w:val="001C2028"/>
    <w:rsid w:val="001F1ECB"/>
    <w:rsid w:val="002121E8"/>
    <w:rsid w:val="002316F3"/>
    <w:rsid w:val="00235BB3"/>
    <w:rsid w:val="00242EF2"/>
    <w:rsid w:val="0025344C"/>
    <w:rsid w:val="002545A8"/>
    <w:rsid w:val="00265C7E"/>
    <w:rsid w:val="0027147D"/>
    <w:rsid w:val="0027171B"/>
    <w:rsid w:val="00281A1D"/>
    <w:rsid w:val="00287DA5"/>
    <w:rsid w:val="00292B2D"/>
    <w:rsid w:val="002A7B5C"/>
    <w:rsid w:val="002B1CE6"/>
    <w:rsid w:val="002D0F5F"/>
    <w:rsid w:val="002E695C"/>
    <w:rsid w:val="002F0779"/>
    <w:rsid w:val="0030327C"/>
    <w:rsid w:val="00312AF6"/>
    <w:rsid w:val="00331D54"/>
    <w:rsid w:val="0035201C"/>
    <w:rsid w:val="003716B2"/>
    <w:rsid w:val="003801D2"/>
    <w:rsid w:val="003B786E"/>
    <w:rsid w:val="003E26FA"/>
    <w:rsid w:val="003F21F0"/>
    <w:rsid w:val="00410A70"/>
    <w:rsid w:val="00421C67"/>
    <w:rsid w:val="00431F94"/>
    <w:rsid w:val="00433B86"/>
    <w:rsid w:val="00452DF8"/>
    <w:rsid w:val="00486783"/>
    <w:rsid w:val="00486807"/>
    <w:rsid w:val="004B328F"/>
    <w:rsid w:val="004B43E6"/>
    <w:rsid w:val="004C71B6"/>
    <w:rsid w:val="00500A10"/>
    <w:rsid w:val="005051F4"/>
    <w:rsid w:val="00511B6A"/>
    <w:rsid w:val="00526D42"/>
    <w:rsid w:val="00543CAF"/>
    <w:rsid w:val="00562A61"/>
    <w:rsid w:val="005B08A4"/>
    <w:rsid w:val="005C0247"/>
    <w:rsid w:val="005C3836"/>
    <w:rsid w:val="005E2D68"/>
    <w:rsid w:val="005F1D0C"/>
    <w:rsid w:val="005F2979"/>
    <w:rsid w:val="006008F9"/>
    <w:rsid w:val="00606755"/>
    <w:rsid w:val="00621553"/>
    <w:rsid w:val="006334CA"/>
    <w:rsid w:val="00633BBE"/>
    <w:rsid w:val="006814A0"/>
    <w:rsid w:val="00684B1D"/>
    <w:rsid w:val="006A25C3"/>
    <w:rsid w:val="006C10E3"/>
    <w:rsid w:val="006C2EA1"/>
    <w:rsid w:val="006D6126"/>
    <w:rsid w:val="006E4740"/>
    <w:rsid w:val="006F7611"/>
    <w:rsid w:val="007021D3"/>
    <w:rsid w:val="007032E8"/>
    <w:rsid w:val="0070617D"/>
    <w:rsid w:val="007127C4"/>
    <w:rsid w:val="00717BF8"/>
    <w:rsid w:val="00727DEE"/>
    <w:rsid w:val="00730B0E"/>
    <w:rsid w:val="0074166D"/>
    <w:rsid w:val="0077426C"/>
    <w:rsid w:val="00775E83"/>
    <w:rsid w:val="00775F3A"/>
    <w:rsid w:val="00783287"/>
    <w:rsid w:val="007A2CBF"/>
    <w:rsid w:val="007B3D05"/>
    <w:rsid w:val="007C346A"/>
    <w:rsid w:val="007C5195"/>
    <w:rsid w:val="007D5438"/>
    <w:rsid w:val="007E268C"/>
    <w:rsid w:val="0080521A"/>
    <w:rsid w:val="00805A4D"/>
    <w:rsid w:val="00812771"/>
    <w:rsid w:val="00812FF4"/>
    <w:rsid w:val="008178E0"/>
    <w:rsid w:val="00835360"/>
    <w:rsid w:val="008362C3"/>
    <w:rsid w:val="008427ED"/>
    <w:rsid w:val="00853632"/>
    <w:rsid w:val="00875FFD"/>
    <w:rsid w:val="00883B6A"/>
    <w:rsid w:val="008E386C"/>
    <w:rsid w:val="008E631F"/>
    <w:rsid w:val="0090081E"/>
    <w:rsid w:val="00904E9E"/>
    <w:rsid w:val="009122C6"/>
    <w:rsid w:val="009217A4"/>
    <w:rsid w:val="00923E7F"/>
    <w:rsid w:val="00930B38"/>
    <w:rsid w:val="00934026"/>
    <w:rsid w:val="009448C7"/>
    <w:rsid w:val="009470ED"/>
    <w:rsid w:val="009510D7"/>
    <w:rsid w:val="00951603"/>
    <w:rsid w:val="00951D6D"/>
    <w:rsid w:val="00953D24"/>
    <w:rsid w:val="00971824"/>
    <w:rsid w:val="0097697E"/>
    <w:rsid w:val="009815B2"/>
    <w:rsid w:val="00990575"/>
    <w:rsid w:val="009914A2"/>
    <w:rsid w:val="00997E87"/>
    <w:rsid w:val="009A3916"/>
    <w:rsid w:val="009A7657"/>
    <w:rsid w:val="009B361B"/>
    <w:rsid w:val="009C670F"/>
    <w:rsid w:val="009D5A75"/>
    <w:rsid w:val="009D74A6"/>
    <w:rsid w:val="00A0346E"/>
    <w:rsid w:val="00A058BB"/>
    <w:rsid w:val="00A1327B"/>
    <w:rsid w:val="00A20C64"/>
    <w:rsid w:val="00A37217"/>
    <w:rsid w:val="00A44101"/>
    <w:rsid w:val="00A50473"/>
    <w:rsid w:val="00A759C7"/>
    <w:rsid w:val="00A97A3D"/>
    <w:rsid w:val="00AA1DA5"/>
    <w:rsid w:val="00AB1138"/>
    <w:rsid w:val="00AC1556"/>
    <w:rsid w:val="00AC6FDE"/>
    <w:rsid w:val="00AE0361"/>
    <w:rsid w:val="00AE422A"/>
    <w:rsid w:val="00AE64A4"/>
    <w:rsid w:val="00B102F8"/>
    <w:rsid w:val="00B1103E"/>
    <w:rsid w:val="00B22D5A"/>
    <w:rsid w:val="00B27E88"/>
    <w:rsid w:val="00B3473B"/>
    <w:rsid w:val="00B53DA9"/>
    <w:rsid w:val="00B54AAC"/>
    <w:rsid w:val="00B70D58"/>
    <w:rsid w:val="00B74B23"/>
    <w:rsid w:val="00B7592A"/>
    <w:rsid w:val="00B76BEB"/>
    <w:rsid w:val="00BF5E4E"/>
    <w:rsid w:val="00BF6101"/>
    <w:rsid w:val="00C23696"/>
    <w:rsid w:val="00C34F14"/>
    <w:rsid w:val="00C47975"/>
    <w:rsid w:val="00C541C0"/>
    <w:rsid w:val="00C60AB2"/>
    <w:rsid w:val="00C91CE0"/>
    <w:rsid w:val="00CA0F9B"/>
    <w:rsid w:val="00CA6894"/>
    <w:rsid w:val="00CB02D9"/>
    <w:rsid w:val="00CD4730"/>
    <w:rsid w:val="00CD4CC3"/>
    <w:rsid w:val="00CE59CA"/>
    <w:rsid w:val="00CF1B19"/>
    <w:rsid w:val="00CF1BC0"/>
    <w:rsid w:val="00CF1C90"/>
    <w:rsid w:val="00CF50B8"/>
    <w:rsid w:val="00CF5BEC"/>
    <w:rsid w:val="00D171B8"/>
    <w:rsid w:val="00D274B7"/>
    <w:rsid w:val="00D30929"/>
    <w:rsid w:val="00D34812"/>
    <w:rsid w:val="00D47CA2"/>
    <w:rsid w:val="00D646E3"/>
    <w:rsid w:val="00D64C16"/>
    <w:rsid w:val="00D64F8A"/>
    <w:rsid w:val="00D655E3"/>
    <w:rsid w:val="00D72AFD"/>
    <w:rsid w:val="00D918C2"/>
    <w:rsid w:val="00D93C43"/>
    <w:rsid w:val="00DB4394"/>
    <w:rsid w:val="00DC143C"/>
    <w:rsid w:val="00DC38B8"/>
    <w:rsid w:val="00DD0335"/>
    <w:rsid w:val="00DE4499"/>
    <w:rsid w:val="00DF19A2"/>
    <w:rsid w:val="00E214CA"/>
    <w:rsid w:val="00E33051"/>
    <w:rsid w:val="00E40C0F"/>
    <w:rsid w:val="00E4217F"/>
    <w:rsid w:val="00E51E8A"/>
    <w:rsid w:val="00E64A6C"/>
    <w:rsid w:val="00E66E1B"/>
    <w:rsid w:val="00E70644"/>
    <w:rsid w:val="00E726DF"/>
    <w:rsid w:val="00E771C7"/>
    <w:rsid w:val="00E81BB8"/>
    <w:rsid w:val="00E95A04"/>
    <w:rsid w:val="00EB38F4"/>
    <w:rsid w:val="00EB747D"/>
    <w:rsid w:val="00EC3CF6"/>
    <w:rsid w:val="00EC7E37"/>
    <w:rsid w:val="00F006E6"/>
    <w:rsid w:val="00F35726"/>
    <w:rsid w:val="00F419DF"/>
    <w:rsid w:val="00F42EB8"/>
    <w:rsid w:val="00FB4045"/>
    <w:rsid w:val="00FB5A99"/>
    <w:rsid w:val="00FC663A"/>
    <w:rsid w:val="00FD1E6B"/>
    <w:rsid w:val="00FD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5B480C"/>
  <w15:chartTrackingRefBased/>
  <w15:docId w15:val="{CA5603DA-D82E-46BF-A88F-12758DAF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</w:rPr>
  </w:style>
  <w:style w:type="paragraph" w:styleId="Titre1">
    <w:name w:val="heading 1"/>
    <w:basedOn w:val="Normal"/>
    <w:qFormat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Comic Sans MS" w:hAnsi="Comic Sans MS"/>
      <w:sz w:val="28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E474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E4740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Retraitcorpsdetexte"/>
    <w:autoRedefine/>
    <w:pPr>
      <w:overflowPunct w:val="0"/>
      <w:autoSpaceDE w:val="0"/>
      <w:autoSpaceDN w:val="0"/>
      <w:adjustRightInd w:val="0"/>
      <w:spacing w:after="0"/>
      <w:ind w:left="0"/>
      <w:jc w:val="left"/>
      <w:textAlignment w:val="baseline"/>
    </w:pPr>
    <w:rPr>
      <w:rFonts w:ascii="Comic Sans MS" w:hAnsi="Comic Sans MS"/>
      <w:b/>
      <w:bCs/>
      <w:sz w:val="32"/>
      <w:szCs w:val="32"/>
      <w:u w:val="single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character" w:styleId="Lienhypertexte">
    <w:name w:val="Hyperlink"/>
    <w:uiPriority w:val="99"/>
    <w:unhideWhenUsed/>
    <w:rsid w:val="009C670F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9C670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000EA1"/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812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501</Words>
  <Characters>2952</Characters>
  <Application>Microsoft Office Word</Application>
  <DocSecurity>0</DocSecurity>
  <Lines>65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action</vt:lpstr>
    </vt:vector>
  </TitlesOfParts>
  <Company>CPIE des Pays Narbonnais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action</dc:title>
  <dc:subject>aménagement Pissevaches</dc:subject>
  <dc:creator>Alain DINDELEUX</dc:creator>
  <cp:keywords/>
  <dc:description/>
  <cp:lastModifiedBy>Jean-Marie PETIAU</cp:lastModifiedBy>
  <cp:revision>75</cp:revision>
  <cp:lastPrinted>2025-11-01T15:38:00Z</cp:lastPrinted>
  <dcterms:created xsi:type="dcterms:W3CDTF">2025-12-16T11:17:00Z</dcterms:created>
  <dcterms:modified xsi:type="dcterms:W3CDTF">2026-03-09T10:19:00Z</dcterms:modified>
</cp:coreProperties>
</file>